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ind w:firstLine="2560" w:firstLineChars="8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ind w:firstLine="2560" w:firstLineChars="8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ind w:firstLine="2560" w:firstLineChars="8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ind w:firstLine="2560" w:firstLineChars="8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ind w:firstLine="2560" w:firstLineChars="8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ind w:firstLine="2560" w:firstLineChars="8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驻</w:t>
      </w:r>
      <w:r>
        <w:rPr>
          <w:rFonts w:hint="eastAsia" w:asciiTheme="minorEastAsia" w:hAnsiTheme="minorEastAsia"/>
          <w:sz w:val="32"/>
          <w:szCs w:val="32"/>
          <w:lang w:eastAsia="zh-CN"/>
        </w:rPr>
        <w:t>教电</w:t>
      </w:r>
      <w:r>
        <w:rPr>
          <w:rFonts w:hint="eastAsia" w:asciiTheme="minorEastAsia" w:hAnsiTheme="minorEastAsia"/>
          <w:sz w:val="32"/>
          <w:szCs w:val="32"/>
        </w:rPr>
        <w:t>﹝2018﹞1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32"/>
          <w:szCs w:val="32"/>
        </w:rPr>
        <w:t>号</w:t>
      </w:r>
    </w:p>
    <w:p>
      <w:pPr>
        <w:ind w:firstLine="2880" w:firstLineChars="900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ascii="华文中宋" w:hAnsi="华文中宋" w:eastAsia="华文中宋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驻马店市教育体育局</w:t>
      </w:r>
    </w:p>
    <w:p>
      <w:pPr>
        <w:widowControl/>
        <w:shd w:val="clear" w:color="auto" w:fill="FFFFFF"/>
        <w:spacing w:line="640" w:lineRule="exact"/>
        <w:jc w:val="center"/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关于扎实推进三个课堂建设</w:t>
      </w:r>
    </w:p>
    <w:p>
      <w:pPr>
        <w:widowControl/>
        <w:shd w:val="clear" w:color="auto" w:fill="FFFFFF"/>
        <w:spacing w:line="640" w:lineRule="exact"/>
        <w:jc w:val="center"/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的指导意见</w:t>
      </w:r>
    </w:p>
    <w:p>
      <w:pPr>
        <w:widowControl/>
        <w:shd w:val="clear" w:color="auto" w:fill="FFFFFF"/>
        <w:jc w:val="center"/>
        <w:rPr>
          <w:rFonts w:ascii="楷体" w:hAnsi="楷体" w:eastAsia="楷体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Lines="1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各县（区）教体局，局直中小学校：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根据驻马店市人民政府《关于加快推进教育信息化建设工作的实施意见》（驻教文〔2016〕237号）和河南省教育厅《关于开展网络课程建设 推动优质资源共建共享有关问题的通知》（教电教〔2017〕92号）精神，为充分发挥现有信息化设施的作用，推动教育资源共享，促进县域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教育均衡发展，现就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市专递课堂、名师课堂、名校网络课堂建设工作提出如下指导意见：</w:t>
      </w:r>
    </w:p>
    <w:p>
      <w:pPr>
        <w:widowControl/>
        <w:shd w:val="clear" w:color="auto" w:fill="FFFFFF"/>
        <w:ind w:firstLine="602" w:firstLineChars="200"/>
        <w:rPr>
          <w:rFonts w:ascii="黑体" w:hAnsi="黑体" w:eastAsia="黑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一、高度重视三个课堂建设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“专递课堂”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利用网络和信息技术设施开展“一校带多点、一校带多校”的教学和教研组织模式，通过同上一节课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异地互动教学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的方式，提高薄弱学校教学质量。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名师课堂”是以名师队伍为引导，以名师网络工作室为依托，组建网络研修共同体，推进优秀教师带普通教师的研修交流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和精品课程的录播与共享等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模式，提高广大教师的教学能力和水平。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名校网络课堂”是通过播出名校课堂实录，分享名校教研备课资源的方式，使名校教学资源在更广范围内得到共享，让更多学生享受到高质量教育，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是强校带弱校的有效方式。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扎实推进三个课堂建设是加快推进网络课程建设，利用信息化手段扩大优质教育资源覆盖面的有效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手段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逐步缩小区域、城乡、校际差距”的重要举措，是构建“人人皆学、处处能学、时时可学”学习型社会的一项重要工作，也是教育信息化精准扶贫的一项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内容，对于推进优质教育资源共享，促进教育公平具有重要意义。因此，各级教育行政部门、各中小学校要高度重视三个课堂建设，结合县域实际，扎实推进三个课堂建设的工作。</w:t>
      </w:r>
    </w:p>
    <w:p>
      <w:pPr>
        <w:widowControl/>
        <w:shd w:val="clear" w:color="auto" w:fill="FFFFFF"/>
        <w:ind w:firstLine="602" w:firstLineChars="200"/>
        <w:rPr>
          <w:rFonts w:ascii="黑体" w:hAnsi="黑体" w:eastAsia="黑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二、精心组织三个课堂建设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 w:cs="宋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（一）进一步夯实三个课堂建设基础</w:t>
      </w:r>
    </w:p>
    <w:p>
      <w:pPr>
        <w:pStyle w:val="12"/>
        <w:spacing w:line="360" w:lineRule="auto"/>
        <w:ind w:firstLine="6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驻马店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教育云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平台支持三个课堂建设及应用。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包括服务器、资源管理及存储空间、课堂直播、互动教学、在线编辑等功能模块。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各级教育管理部门要利用驻马店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教育云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录播功能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做好优质资源汇聚、教育大数据分析、应用成效监管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同时，为了避免资源浪费，充分利用教育云服务平台功能，各中小学校不能重复建设资源管理平台、直播、互动等系统。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已建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和在建的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网络互动教室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录播教室在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2018年底前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要与驻马店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教育云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平台对接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2019年年底前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城镇中小学校和乡中心学校都要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建设有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网络互动教室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，并实现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与驻马店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教育云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平台对接。要加快推进校校通、班班通建设，年内各县区实现校园网络宽带全覆盖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和数字校园建设任务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，城镇和农村学校配备多媒体教室比列达到90%和70%</w:t>
      </w:r>
    </w:p>
    <w:p>
      <w:pPr>
        <w:pStyle w:val="12"/>
        <w:spacing w:line="360" w:lineRule="auto"/>
        <w:ind w:firstLine="600"/>
        <w:rPr>
          <w:rFonts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以上，教学用计算机师机比列达到1：1。要巩固“教学点数字教育资源全覆盖”项目建设成果，加强项目设备的管理与维护，确保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用足用好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。要坚持应用驱动的工作要求，以三个课堂建设与应用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为引领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，推进教育信息化基础环境的完善。</w:t>
      </w:r>
    </w:p>
    <w:p>
      <w:pPr>
        <w:widowControl/>
        <w:shd w:val="clear" w:color="auto" w:fill="FFFFFF"/>
        <w:rPr>
          <w:rFonts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（二）扎实推进三个课堂的建设</w:t>
      </w:r>
    </w:p>
    <w:p>
      <w:pPr>
        <w:pStyle w:val="12"/>
        <w:spacing w:line="360" w:lineRule="auto"/>
        <w:ind w:firstLine="602"/>
        <w:rPr>
          <w:rFonts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1、要明确建设任务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专递课堂建设：“专递课堂”的建设主要以乡镇为单位开展。形成“中心校带多校，一校带多点”的网络互动教学模式，支持城区优质学校与农村薄弱学校结对帮扶，运用远程教育手段开展同上一节课活动，努力帮助农村小学（教学点）开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齐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开足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课程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kern w:val="0"/>
          <w:sz w:val="30"/>
          <w:szCs w:val="30"/>
        </w:rPr>
        <w:t>实现城乡（镇）网络课程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同步课堂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同步教研、同步评估、同步视讯、同步录播等“五个同步”功能要求。2018年底前全市乡镇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中心校试点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使用专递课堂教学模式；2019年底前全市要有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0%以上的乡镇使用专递课堂教学模式；2020年底以前所有乡镇实现专递课堂全覆盖。 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名师课堂建设：建立市县校三级网络教学名师队伍，赋予其相应的名师责任。市级网络教学名师队伍在学科分布上要覆盖小学到高中所有学科，每位网络教学名师每年要向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驻马店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教育云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上传优质课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程3-5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节，要运用教育云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平台所提供的网络空间，在全市范围内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吸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纳不少于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名的教师参加的网络研修共同体，实现优秀教师带普通教师的研修交流模式。要注重发挥省级名师在名师课堂建设中的表率作用，指导市县校名师开展名师课堂建设。县校网络教学名师队伍建设及其责任分别由县校制定。要加强网络名师工作室软硬件建设，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网络名师工作室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建设成为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学校在线教学的直播中心、优课微课的制作中心、专家名师的交流研修中心、优质网络课程的推送中心。2018年底完成市级网络名师队伍建设，开通名师网络空间，完成组建市级网络名师研修共同体。2019年底前完成县校两级网络名师队伍和名师课堂建设任务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名校网络课堂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：参照《河南省教育厅关于建设全省网络直播互动教室平台的通知》（教电教〔2013〕531号）文件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《驻马店市教育局关于实施全市网络直播互动教室平台项目的通知》（驻教电〔2014〕12号）的文件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/>
          <w:color w:val="000000" w:themeColor="text1"/>
          <w:kern w:val="0"/>
          <w:sz w:val="30"/>
          <w:szCs w:val="30"/>
          <w:highlight w:val="none"/>
          <w:lang w:val="en-US"/>
          <w14:textFill>
            <w14:solidFill>
              <w14:schemeClr w14:val="tx1"/>
            </w14:solidFill>
          </w14:textFill>
        </w:rPr>
        <w:t>各县区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所（见附表1）具有网络特色的名校，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开展名校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网络课堂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。学校通过网络课堂带动1-2所弱校，实现名校带弱校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已确定的网络名校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每年要向驻马店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教育云服务平台上传优质课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节，使名校优秀教育资源在更广范围内得到共享。</w:t>
      </w:r>
    </w:p>
    <w:p>
      <w:pPr>
        <w:pStyle w:val="12"/>
        <w:spacing w:line="360" w:lineRule="auto"/>
        <w:ind w:firstLine="602"/>
        <w:rPr>
          <w:rFonts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2、要</w:t>
      </w:r>
      <w:r>
        <w:rPr>
          <w:rFonts w:hint="eastAsia"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课程资源建设 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三个课堂建设是课程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资源建设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的重要内容，要基于网络教学的特点，将课程教学与网络技术进行有机的整合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网络课程的建设要充分拓展与课程相关的知识资源，充分利用网络的时空优势和技术手段，营造师师之间、师生之间、学生之间教研教学、学习交流的互动环境；要根据学生自主学习的特点设计网络教学目标和教学内容；要建立适合网络学习的成效评价体系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从而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充分体现网络课程的多样性、及时性、交互性等特点。</w:t>
      </w:r>
    </w:p>
    <w:p>
      <w:pPr>
        <w:pStyle w:val="12"/>
        <w:spacing w:line="360" w:lineRule="auto"/>
        <w:ind w:firstLine="602"/>
        <w:rPr>
          <w:rFonts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3、要构建协同推进工作模式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市教体局负责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“三个课堂”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建设的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指导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意见，组建相关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专家团队，统一组织协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调，开展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监管督查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、指导和评估等工作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县（区）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部门负责辖区内三个课堂建设的实施，做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建设规划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工作。制定三个课堂专项培训计划，组织学校教师开展研讨、学习、培训等活动；汇集本地特色资源、开发稀缺网络课程，成体系的将优质网络课程推送至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驻马店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教育云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；制定强校带弱校的精准教育帮扶方案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。当前要抓紧推进网络直播互动教室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、录播教室、名师工作室的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建设，已建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成的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网络直播互动教室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录播教室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、名师工作室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要抓紧接入驻马店市教育云服务平台。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2018年10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各县区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将本地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网络直播互动教室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录播教室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、名师工作室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（见附表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上报市电教馆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，并于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2018年底前按教育云服务平台的接入要求升级改造完毕。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中心学校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负责三个课堂建设的具体实施，抓好硬件建设，名师选拔，课程开发，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将三个课堂的课时安排列入每学期的教学计划，明确教研组、备课组的工作责任及人员分工；乡镇中心小学与辖区内的村小（教学点）要统一课程表，实现同上一节课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重点解决村小和教学点体音美等学科师资短缺问题；中心校的教研人员负责帮助教师完成网络课程的教学设计、导学案、微视频等，对接收学校的学生进行学习基础的诊断和补救。</w:t>
      </w:r>
    </w:p>
    <w:p>
      <w:pPr>
        <w:widowControl/>
        <w:shd w:val="clear" w:color="auto" w:fill="FFFFFF"/>
        <w:ind w:firstLine="602" w:firstLineChars="200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（三）市级网络名师队伍</w:t>
      </w:r>
    </w:p>
    <w:p>
      <w:pPr>
        <w:widowControl/>
        <w:shd w:val="clear" w:color="auto" w:fill="FFFFFF"/>
        <w:ind w:firstLine="600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市级网络名师队伍按照学校推荐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县区初审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市教体局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定的办法组建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各县区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教体局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在2018年10月30日以前按照小学、初中、高中三个学段推荐具备网络教学能力的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网络教学名师（经省市县评定的名师优先）。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每县区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每学科6-10人（见附表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），统一报送至市电教馆。经认定的市级网络名师由市教体局颁发网络教学名师市级证书。</w:t>
      </w:r>
    </w:p>
    <w:p>
      <w:pPr>
        <w:autoSpaceDN w:val="0"/>
        <w:spacing w:line="360" w:lineRule="auto"/>
        <w:ind w:firstLine="600" w:firstLineChars="200"/>
        <w:rPr>
          <w:rFonts w:ascii="黑体" w:hAnsi="黑体" w:eastAsia="黑体" w:cs="黑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ascii="黑体" w:hAnsi="黑体" w:eastAsia="黑体" w:cs="黑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三个课堂</w:t>
      </w: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建设保障措施</w:t>
      </w:r>
    </w:p>
    <w:p>
      <w:pPr>
        <w:widowControl/>
        <w:shd w:val="clear" w:color="auto" w:fill="FFFFFF"/>
        <w:ind w:firstLine="602" w:firstLineChars="200"/>
        <w:rPr>
          <w:rFonts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（一）做好组织保障。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三个课堂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由驻马店市电化教育馆负责。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各县（区）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要明确责任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，指定专人负责，形成市、县、乡（中心校）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层层推进的工作格局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确保各项工作落到实处。</w:t>
      </w:r>
    </w:p>
    <w:p>
      <w:pPr>
        <w:widowControl/>
        <w:shd w:val="clear" w:color="auto" w:fill="FFFFFF"/>
        <w:ind w:firstLine="602" w:firstLineChars="200"/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（二）设立专项资金。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各县（区）教育管理部门要加强“三个课堂”建设和应用，依照《驻马店市人民政府关于加快推进教育信息化建设工作的实施意见》（驻政文〔2016〕237号），统筹资金，加大投资力度。结合实际建立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三个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课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堂建设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专项考核制度，规范考核程序，完善考核内容，并协调当地财政部门设立专项奖励资金，给参与学校和教师一定的奖励补助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，学校要给与参与的教师绩效工资奖励。</w:t>
      </w:r>
    </w:p>
    <w:p>
      <w:pPr>
        <w:widowControl/>
        <w:shd w:val="clear" w:color="auto" w:fill="FFFFFF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（三）做好教学管理。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各县（区）教育管理部门要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抓好三个课堂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技术保障等工作。抓好学校教学设备管理人员的技术支撑培训，保证设备正常运行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抓好任课教师的网络教学能力培训，构建优质、高效的新型课堂教学模式。要将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三个课堂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教学设备设施的管理、使用、维护和培训等工作，纳入对学校的考核及常规教育教学评估体系中。</w:t>
      </w:r>
    </w:p>
    <w:p>
      <w:pPr>
        <w:widowControl/>
        <w:shd w:val="clear" w:color="auto" w:fill="FFFFFF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（四）建立考评体系。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各县（区）教育管理部门要将</w:t>
      </w:r>
      <w:r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三个课堂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列入教育督导内容和中小学办学水平评估、校长考评指标体系中，要把教师利用</w:t>
      </w:r>
      <w:r>
        <w:rPr>
          <w:rFonts w:hint="default" w:ascii="仿宋" w:hAnsi="仿宋" w:eastAsia="仿宋"/>
          <w:color w:val="000000" w:themeColor="text1"/>
          <w:kern w:val="0"/>
          <w:sz w:val="30"/>
          <w:szCs w:val="30"/>
          <w:highlight w:val="none"/>
          <w:lang w:val="en-US"/>
          <w14:textFill>
            <w14:solidFill>
              <w14:schemeClr w14:val="tx1"/>
            </w14:solidFill>
          </w14:textFill>
        </w:rPr>
        <w:t>三个课堂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教学情况纳入教师职称评定、评先评优和农村支教等工作考核内容。对应用能力强、使用效果好的学校和教师要予以通报表扬和专项奖励。</w:t>
      </w:r>
    </w:p>
    <w:p>
      <w:pPr>
        <w:widowControl/>
        <w:shd w:val="clear" w:color="auto" w:fill="FFFFFF"/>
        <w:ind w:firstLine="602" w:firstLineChars="200"/>
        <w:rPr>
          <w:rFonts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（五）加强检查督导。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市教体局将在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6月，12月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开展对</w:t>
      </w:r>
      <w:r>
        <w:rPr>
          <w:rFonts w:hint="default" w:ascii="仿宋" w:hAnsi="仿宋" w:eastAsia="仿宋"/>
          <w:color w:val="000000" w:themeColor="text1"/>
          <w:kern w:val="0"/>
          <w:sz w:val="30"/>
          <w:szCs w:val="30"/>
          <w:highlight w:val="none"/>
          <w:lang w:val="en-US"/>
          <w14:textFill>
            <w14:solidFill>
              <w14:schemeClr w14:val="tx1"/>
            </w14:solidFill>
          </w14:textFill>
        </w:rPr>
        <w:t>三个课堂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建设和应用工作的专项督导检查，通报督导检查结果，对先进单位予以奖励。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b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各县区、局直学校根据以上指导意见，制定本县区三个课堂的具体实施方案，并与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上报市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电教馆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备案。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联系人：邓智明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:0396-2685262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邮箱:67635537@qq.com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技术服务：王鑫  </w:t>
      </w:r>
    </w:p>
    <w:p>
      <w:pPr>
        <w:widowControl/>
        <w:shd w:val="clear" w:color="auto" w:fill="FFFFFF"/>
        <w:ind w:firstLine="600" w:firstLineChars="2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联系电话：15093516688</w:t>
      </w:r>
    </w:p>
    <w:p>
      <w:pPr>
        <w:ind w:firstLine="300" w:firstLineChars="100"/>
        <w:jc w:val="both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00" w:firstLineChars="1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附表1：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驻马店市网络名校推荐表</w:t>
      </w:r>
    </w:p>
    <w:p>
      <w:pPr>
        <w:widowControl/>
        <w:shd w:val="clear" w:color="auto" w:fill="FFFFFF"/>
        <w:ind w:firstLine="300" w:firstLineChars="1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附表2：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录播教室、名师工作室、网络互动教室情况统计表</w:t>
      </w:r>
    </w:p>
    <w:p>
      <w:pPr>
        <w:ind w:firstLine="300" w:firstLineChars="100"/>
        <w:jc w:val="both"/>
        <w:rPr>
          <w:rFonts w:hint="eastAsia"/>
          <w:b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附表3：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三个课堂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网络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教学名师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推荐表</w:t>
      </w:r>
    </w:p>
    <w:p>
      <w:pPr>
        <w:widowControl/>
        <w:shd w:val="clear" w:color="auto" w:fill="FFFFFF"/>
        <w:ind w:firstLine="300" w:firstLineChars="1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300" w:firstLineChars="1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300" w:firstLineChars="100"/>
        <w:rPr>
          <w:rFonts w:hint="eastAsia" w:ascii="仿宋" w:hAnsi="仿宋" w:eastAsia="仿宋"/>
          <w:b w:val="0"/>
          <w:bCs w:val="0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5400" w:firstLineChars="1800"/>
        <w:jc w:val="righ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10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　</w:t>
      </w: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18" w:right="1474" w:bottom="1418" w:left="1701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ind w:firstLine="3975" w:firstLineChars="900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驻马店市网络名校推荐表</w:t>
      </w:r>
    </w:p>
    <w:tbl>
      <w:tblPr>
        <w:tblStyle w:val="10"/>
        <w:tblpPr w:leftFromText="180" w:rightFromText="180" w:vertAnchor="text" w:horzAnchor="page" w:tblpX="1573" w:tblpY="322"/>
        <w:tblOverlap w:val="never"/>
        <w:tblW w:w="13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3355"/>
        <w:gridCol w:w="2618"/>
        <w:gridCol w:w="334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县区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学校</w:t>
            </w:r>
          </w:p>
        </w:tc>
        <w:tc>
          <w:tcPr>
            <w:tcW w:w="26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33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83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5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61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34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ind w:firstLine="562" w:firstLineChars="20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月30日前将推荐表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67635537@qq.com</w:t>
      </w: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417" w:bottom="1474" w:left="141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附表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录播教室、名师工作室、网络互动教室情况统计表</w:t>
      </w:r>
    </w:p>
    <w:p>
      <w:pPr>
        <w:ind w:firstLine="1265" w:firstLineChars="600"/>
        <w:jc w:val="both"/>
        <w:rPr>
          <w:rFonts w:hint="eastAsia" w:ascii="仿宋" w:hAnsi="仿宋" w:eastAsia="仿宋" w:cs="仿宋"/>
          <w:b/>
          <w:bCs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u w:val="none"/>
          <w:lang w:val="en-US" w:eastAsia="zh-CN"/>
        </w:rPr>
        <w:t>县（区）</w:t>
      </w:r>
    </w:p>
    <w:tbl>
      <w:tblPr>
        <w:tblStyle w:val="10"/>
        <w:tblW w:w="13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279"/>
        <w:gridCol w:w="3676"/>
        <w:gridCol w:w="2491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所用设备厂家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承建公司</w:t>
            </w: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承建时间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76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备注：1、名称指录播教室或名师工作室或网络互动教室;</w:t>
      </w:r>
    </w:p>
    <w:p>
      <w:pPr>
        <w:ind w:firstLine="843" w:firstLineChars="3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"mailto:2、10月30日前将统计表报送至67635537@qq.com" </w:instrTex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2、10</w:t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</w:rPr>
        <w:t>月30日前将</w:t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eastAsia="zh-CN"/>
        </w:rPr>
        <w:t>统计</w:t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</w:rPr>
        <w:t>表</w:t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eastAsia="zh-CN"/>
        </w:rPr>
        <w:t>报送</w:t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</w:rPr>
        <w:t>至</w:t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67635537@qq.com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</w:p>
    <w:p>
      <w:pPr>
        <w:ind w:firstLine="843" w:firstLineChars="3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701" w:right="1417" w:bottom="1474" w:left="141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附表</w:t>
      </w:r>
      <w:r>
        <w:rPr>
          <w:rFonts w:hint="eastAsia"/>
          <w:b/>
          <w:sz w:val="28"/>
          <w:szCs w:val="28"/>
          <w:lang w:val="en-US" w:eastAsia="zh-CN"/>
        </w:rPr>
        <w:t>3</w:t>
      </w:r>
    </w:p>
    <w:p>
      <w:pPr>
        <w:ind w:firstLine="1606" w:firstLineChars="5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三个课堂</w:t>
      </w:r>
      <w:r>
        <w:rPr>
          <w:rFonts w:hint="eastAsia"/>
          <w:b/>
          <w:sz w:val="32"/>
          <w:szCs w:val="32"/>
        </w:rPr>
        <w:t>网络</w:t>
      </w:r>
      <w:r>
        <w:rPr>
          <w:rFonts w:hint="eastAsia"/>
          <w:b/>
          <w:sz w:val="32"/>
          <w:szCs w:val="32"/>
          <w:lang w:eastAsia="zh-CN"/>
        </w:rPr>
        <w:t>教学名师</w:t>
      </w:r>
      <w:r>
        <w:rPr>
          <w:rFonts w:hint="eastAsia"/>
          <w:b/>
          <w:sz w:val="32"/>
          <w:szCs w:val="32"/>
        </w:rPr>
        <w:t>推荐表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/>
          <w:lang w:eastAsia="zh-CN"/>
        </w:rPr>
        <w:t>县</w:t>
      </w:r>
      <w:r>
        <w:rPr>
          <w:rFonts w:hint="eastAsia" w:ascii="仿宋" w:hAnsi="仿宋" w:eastAsia="仿宋"/>
          <w:sz w:val="24"/>
          <w:szCs w:val="24"/>
        </w:rPr>
        <w:t>(</w:t>
      </w:r>
      <w:r>
        <w:rPr>
          <w:rFonts w:hint="eastAsia" w:ascii="仿宋" w:hAnsi="仿宋" w:eastAsia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/>
          <w:sz w:val="24"/>
          <w:szCs w:val="24"/>
        </w:rPr>
        <w:t>):</w:t>
      </w:r>
    </w:p>
    <w:tbl>
      <w:tblPr>
        <w:tblStyle w:val="10"/>
        <w:tblpPr w:leftFromText="180" w:rightFromText="180" w:vertAnchor="text" w:horzAnchor="page" w:tblpX="1522" w:tblpY="136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5"/>
        <w:gridCol w:w="930"/>
        <w:gridCol w:w="1035"/>
        <w:gridCol w:w="1740"/>
        <w:gridCol w:w="177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段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科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称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注：1、各县区原则上各学段上报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6-10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人，各学段上报的学科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名师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不得重复</w:t>
      </w:r>
    </w:p>
    <w:p>
      <w:pPr>
        <w:ind w:firstLine="482" w:firstLineChars="200"/>
        <w:jc w:val="both"/>
        <w:rPr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月30日前将推荐表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报送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67635537@qq.com</w:t>
      </w:r>
    </w:p>
    <w:p>
      <w:pPr>
        <w:widowControl/>
        <w:shd w:val="clear" w:color="auto" w:fill="FFFFFF"/>
        <w:jc w:val="both"/>
        <w:rPr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474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3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9F4"/>
    <w:rsid w:val="06237EEA"/>
    <w:rsid w:val="065F39F4"/>
    <w:rsid w:val="0B8472F1"/>
    <w:rsid w:val="23B4048A"/>
    <w:rsid w:val="2EBE4AE0"/>
    <w:rsid w:val="2F622F4D"/>
    <w:rsid w:val="3F443374"/>
    <w:rsid w:val="430B141C"/>
    <w:rsid w:val="46E5668D"/>
    <w:rsid w:val="48B80AF5"/>
    <w:rsid w:val="63FB3F30"/>
    <w:rsid w:val="64836BB7"/>
    <w:rsid w:val="65AE0723"/>
    <w:rsid w:val="6AE0505D"/>
    <w:rsid w:val="6B150E6B"/>
    <w:rsid w:val="71BA33BC"/>
    <w:rsid w:val="73680DF5"/>
    <w:rsid w:val="7ED31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3484</Words>
  <Characters>3588</Characters>
  <Paragraphs>51</Paragraphs>
  <TotalTime>1</TotalTime>
  <ScaleCrop>false</ScaleCrop>
  <LinksUpToDate>false</LinksUpToDate>
  <CharactersWithSpaces>3614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2018-08-08T03:03:00Z</dcterms:created>
  <dc:creator>皇甫晓东</dc:creator>
  <cp:lastModifiedBy>快乐就好</cp:lastModifiedBy>
  <cp:lastPrinted>2018-10-12T01:35:00Z</cp:lastPrinted>
  <dcterms:modified xsi:type="dcterms:W3CDTF">2018-10-15T01:12:49Z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