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9925">
      <w:pPr>
        <w:pageBreakBefore w:val="0"/>
        <w:wordWrap w:val="0"/>
        <w:spacing w:before="300" w:after="0" w:line="540" w:lineRule="atLeast"/>
        <w:ind w:right="0"/>
        <w:jc w:val="both"/>
        <w:textAlignment w:val="baseline"/>
        <w:rPr>
          <w:sz w:val="41"/>
        </w:rPr>
      </w:pPr>
      <w:r>
        <w:rPr>
          <w:rFonts w:ascii="黑体" w:hAnsi="黑体" w:eastAsia="黑体" w:cs="黑体"/>
          <w:b w:val="0"/>
          <w:i w:val="0"/>
          <w:color w:val="000000"/>
          <w:spacing w:val="0"/>
          <w:sz w:val="41"/>
        </w:rPr>
        <w:t>附 件</w:t>
      </w:r>
    </w:p>
    <w:p w14:paraId="5E38EEF2">
      <w:pPr>
        <w:pageBreakBefore w:val="0"/>
        <w:wordWrap w:val="0"/>
        <w:spacing w:before="240" w:after="0" w:line="540" w:lineRule="atLeast"/>
        <w:ind w:left="0" w:right="0"/>
        <w:jc w:val="center"/>
        <w:textAlignment w:val="baseline"/>
        <w:rPr>
          <w:sz w:val="41"/>
        </w:rPr>
      </w:pPr>
      <w:r>
        <w:rPr>
          <w:rFonts w:ascii="黑体" w:hAnsi="黑体" w:eastAsia="黑体" w:cs="黑体"/>
          <w:b w:val="0"/>
          <w:i w:val="0"/>
          <w:color w:val="000000"/>
          <w:spacing w:val="0"/>
          <w:sz w:val="41"/>
        </w:rPr>
        <w:t>国家中小学智慧教育平台全域全员全流程</w:t>
      </w:r>
    </w:p>
    <w:p w14:paraId="08C6BB12">
      <w:pPr>
        <w:pageBreakBefore w:val="0"/>
        <w:wordWrap w:val="0"/>
        <w:spacing w:before="0" w:after="0" w:line="540" w:lineRule="atLeast"/>
        <w:ind w:left="0" w:right="0"/>
        <w:jc w:val="center"/>
        <w:textAlignment w:val="baseline"/>
        <w:rPr>
          <w:sz w:val="41"/>
        </w:rPr>
      </w:pPr>
      <w:r>
        <w:rPr>
          <w:rFonts w:ascii="黑体" w:hAnsi="黑体" w:eastAsia="黑体" w:cs="黑体"/>
          <w:b w:val="0"/>
          <w:i w:val="0"/>
          <w:color w:val="000000"/>
          <w:spacing w:val="0"/>
          <w:sz w:val="41"/>
        </w:rPr>
        <w:t>应用成效监测指标 (试行)</w:t>
      </w:r>
    </w:p>
    <w:p w14:paraId="3FC547C6">
      <w:pPr>
        <w:pageBreakBefore w:val="0"/>
        <w:wordWrap w:val="0"/>
        <w:spacing w:before="140" w:after="0" w:line="380" w:lineRule="atLeast"/>
        <w:ind w:left="0" w:right="0"/>
        <w:jc w:val="center"/>
        <w:textAlignment w:val="baseline"/>
        <w:rPr>
          <w:sz w:val="29"/>
        </w:rPr>
      </w:pPr>
      <w:r>
        <w:rPr>
          <w:rFonts w:ascii="黑体" w:hAnsi="黑体" w:eastAsia="黑体" w:cs="黑体"/>
          <w:b w:val="0"/>
          <w:i w:val="0"/>
          <w:color w:val="000000"/>
          <w:spacing w:val="0"/>
          <w:sz w:val="29"/>
        </w:rPr>
        <w:t>(起步探索阶段指标)</w:t>
      </w:r>
    </w:p>
    <w:tbl>
      <w:tblPr>
        <w:tblStyle w:val="3"/>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172"/>
        <w:gridCol w:w="1294"/>
        <w:gridCol w:w="1569"/>
        <w:gridCol w:w="3503"/>
        <w:gridCol w:w="551"/>
        <w:gridCol w:w="758"/>
      </w:tblGrid>
      <w:tr w14:paraId="01D2B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2" w:type="pct"/>
            <w:vAlign w:val="center"/>
          </w:tcPr>
          <w:p w14:paraId="5C66225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一级指标</w:t>
            </w:r>
          </w:p>
        </w:tc>
        <w:tc>
          <w:tcPr>
            <w:tcW w:w="731" w:type="pct"/>
            <w:vAlign w:val="center"/>
          </w:tcPr>
          <w:p w14:paraId="2FC9CEB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二级指标</w:t>
            </w:r>
          </w:p>
        </w:tc>
        <w:tc>
          <w:tcPr>
            <w:tcW w:w="886" w:type="pct"/>
            <w:vAlign w:val="center"/>
          </w:tcPr>
          <w:p w14:paraId="5EDE288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三级指标</w:t>
            </w:r>
          </w:p>
        </w:tc>
        <w:tc>
          <w:tcPr>
            <w:tcW w:w="1978" w:type="pct"/>
            <w:vAlign w:val="center"/>
          </w:tcPr>
          <w:p w14:paraId="7F1A424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计算规则</w:t>
            </w:r>
          </w:p>
        </w:tc>
        <w:tc>
          <w:tcPr>
            <w:tcW w:w="311" w:type="pct"/>
            <w:vAlign w:val="center"/>
          </w:tcPr>
          <w:p w14:paraId="5BE9281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分值</w:t>
            </w:r>
          </w:p>
        </w:tc>
        <w:tc>
          <w:tcPr>
            <w:tcW w:w="428" w:type="pct"/>
            <w:vAlign w:val="center"/>
          </w:tcPr>
          <w:p w14:paraId="02A72A8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权重</w:t>
            </w:r>
          </w:p>
        </w:tc>
      </w:tr>
      <w:tr w14:paraId="1CE32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62" w:type="pct"/>
            <w:vMerge w:val="restart"/>
            <w:vAlign w:val="center"/>
          </w:tcPr>
          <w:p w14:paraId="566A4036">
            <w:pPr>
              <w:pageBreakBefore w:val="0"/>
              <w:wordWrap w:val="0"/>
              <w:spacing w:before="0" w:after="0" w:line="280" w:lineRule="atLeast"/>
              <w:ind w:left="0" w:right="0"/>
              <w:jc w:val="center"/>
              <w:textAlignment w:val="baseline"/>
              <w:rPr>
                <w:sz w:val="21"/>
              </w:rPr>
            </w:pPr>
            <w:r>
              <w:rPr>
                <w:rFonts w:ascii="黑体" w:hAnsi="黑体" w:eastAsia="黑体" w:cs="黑体"/>
                <w:b/>
                <w:bCs/>
                <w:i w:val="0"/>
                <w:color w:val="000000"/>
                <w:spacing w:val="0"/>
                <w:sz w:val="21"/>
              </w:rPr>
              <w:t>全域应用</w:t>
            </w:r>
          </w:p>
        </w:tc>
        <w:tc>
          <w:tcPr>
            <w:tcW w:w="731" w:type="pct"/>
            <w:vMerge w:val="restart"/>
            <w:vAlign w:val="center"/>
          </w:tcPr>
          <w:p w14:paraId="44552948">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覆盖度</w:t>
            </w:r>
          </w:p>
        </w:tc>
        <w:tc>
          <w:tcPr>
            <w:tcW w:w="886" w:type="pct"/>
            <w:vAlign w:val="center"/>
          </w:tcPr>
          <w:p w14:paraId="13DE5E4A">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省市县管理员激活率</w:t>
            </w:r>
          </w:p>
        </w:tc>
        <w:tc>
          <w:tcPr>
            <w:tcW w:w="1978" w:type="pct"/>
            <w:vAlign w:val="center"/>
          </w:tcPr>
          <w:p w14:paraId="7963366D">
            <w:pPr>
              <w:pageBreakBefore w:val="0"/>
              <w:wordWrap/>
              <w:spacing w:before="0" w:after="0" w:line="280" w:lineRule="atLeast"/>
              <w:ind w:left="20" w:right="0" w:hanging="20"/>
              <w:jc w:val="left"/>
              <w:textAlignment w:val="baseline"/>
              <w:rPr>
                <w:sz w:val="21"/>
              </w:rPr>
            </w:pPr>
            <w:r>
              <w:rPr>
                <w:rFonts w:ascii="黑体" w:hAnsi="黑体" w:eastAsia="黑体" w:cs="黑体"/>
                <w:b w:val="0"/>
                <w:i w:val="0"/>
                <w:color w:val="000000"/>
                <w:spacing w:val="0"/>
                <w:sz w:val="21"/>
              </w:rPr>
              <w:t>本地已激活超管的区域数/本地区域总数×100；按满分100计，以实际比率计分</w:t>
            </w:r>
          </w:p>
        </w:tc>
        <w:tc>
          <w:tcPr>
            <w:tcW w:w="311" w:type="pct"/>
            <w:vAlign w:val="center"/>
          </w:tcPr>
          <w:p w14:paraId="46A9A615">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7A1AF6F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15</w:t>
            </w:r>
          </w:p>
        </w:tc>
      </w:tr>
      <w:tr w14:paraId="3DA54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62" w:type="pct"/>
            <w:vMerge w:val="continue"/>
          </w:tcPr>
          <w:p w14:paraId="5A445C8F"/>
        </w:tc>
        <w:tc>
          <w:tcPr>
            <w:tcW w:w="731" w:type="pct"/>
            <w:vMerge w:val="continue"/>
          </w:tcPr>
          <w:p w14:paraId="617D4052"/>
        </w:tc>
        <w:tc>
          <w:tcPr>
            <w:tcW w:w="886" w:type="pct"/>
            <w:vAlign w:val="center"/>
          </w:tcPr>
          <w:p w14:paraId="0EB5DF4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校级管理员激活率</w:t>
            </w:r>
          </w:p>
        </w:tc>
        <w:tc>
          <w:tcPr>
            <w:tcW w:w="1978" w:type="pct"/>
            <w:vAlign w:val="center"/>
          </w:tcPr>
          <w:p w14:paraId="70111B6D">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本地已激活超管的学校数/本地学校总数×100；学校仅计算中小学校；按满分100计，以实际比率计分</w:t>
            </w:r>
          </w:p>
        </w:tc>
        <w:tc>
          <w:tcPr>
            <w:tcW w:w="311" w:type="pct"/>
            <w:vAlign w:val="center"/>
          </w:tcPr>
          <w:p w14:paraId="3C1552EC">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613CF969">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15</w:t>
            </w:r>
          </w:p>
        </w:tc>
      </w:tr>
      <w:tr w14:paraId="373A6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662" w:type="pct"/>
            <w:vMerge w:val="continue"/>
          </w:tcPr>
          <w:p w14:paraId="4D1679D6"/>
        </w:tc>
        <w:tc>
          <w:tcPr>
            <w:tcW w:w="731" w:type="pct"/>
            <w:vMerge w:val="restart"/>
            <w:vAlign w:val="center"/>
          </w:tcPr>
          <w:p w14:paraId="32FB72B8">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信息完整度</w:t>
            </w:r>
          </w:p>
        </w:tc>
        <w:tc>
          <w:tcPr>
            <w:tcW w:w="886" w:type="pct"/>
            <w:vAlign w:val="center"/>
          </w:tcPr>
          <w:p w14:paraId="015A2A5D">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各级管理信息填报完整度</w:t>
            </w:r>
          </w:p>
        </w:tc>
        <w:tc>
          <w:tcPr>
            <w:tcW w:w="1978" w:type="pct"/>
            <w:vAlign w:val="center"/>
          </w:tcPr>
          <w:p w14:paraId="4C26B12F">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完整填写信息的区域数/本地区域总数×100；按满分100计，以实际比率计分(仅统计必填项信息)</w:t>
            </w:r>
          </w:p>
        </w:tc>
        <w:tc>
          <w:tcPr>
            <w:tcW w:w="311" w:type="pct"/>
            <w:vAlign w:val="center"/>
          </w:tcPr>
          <w:p w14:paraId="2A4F3BB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1684ADAA">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15</w:t>
            </w:r>
          </w:p>
        </w:tc>
      </w:tr>
      <w:tr w14:paraId="180A0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62" w:type="pct"/>
            <w:vMerge w:val="continue"/>
          </w:tcPr>
          <w:p w14:paraId="194D90B3"/>
        </w:tc>
        <w:tc>
          <w:tcPr>
            <w:tcW w:w="731" w:type="pct"/>
            <w:vMerge w:val="continue"/>
          </w:tcPr>
          <w:p w14:paraId="6FE6ACA9"/>
        </w:tc>
        <w:tc>
          <w:tcPr>
            <w:tcW w:w="886" w:type="pct"/>
            <w:vAlign w:val="center"/>
          </w:tcPr>
          <w:p w14:paraId="1594669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学校信息填报完整度</w:t>
            </w:r>
          </w:p>
        </w:tc>
        <w:tc>
          <w:tcPr>
            <w:tcW w:w="1978" w:type="pct"/>
            <w:vAlign w:val="center"/>
          </w:tcPr>
          <w:p w14:paraId="6BC38658">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完整填写信息的学校数/本地学校总数×100；学校仅计算中小学校；按满分100计，以实际比率计分(仅统计必填项信息)</w:t>
            </w:r>
          </w:p>
        </w:tc>
        <w:tc>
          <w:tcPr>
            <w:tcW w:w="311" w:type="pct"/>
            <w:vAlign w:val="center"/>
          </w:tcPr>
          <w:p w14:paraId="3C4B3CDC">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44F20B76">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15</w:t>
            </w:r>
          </w:p>
        </w:tc>
      </w:tr>
      <w:tr w14:paraId="21A60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62" w:type="pct"/>
            <w:vMerge w:val="restart"/>
            <w:vAlign w:val="center"/>
          </w:tcPr>
          <w:p w14:paraId="707302DD">
            <w:pPr>
              <w:pageBreakBefore w:val="0"/>
              <w:wordWrap w:val="0"/>
              <w:spacing w:before="0" w:after="0" w:line="280" w:lineRule="atLeast"/>
              <w:ind w:left="0" w:right="0"/>
              <w:jc w:val="center"/>
              <w:textAlignment w:val="baseline"/>
              <w:rPr>
                <w:sz w:val="21"/>
              </w:rPr>
            </w:pPr>
            <w:r>
              <w:rPr>
                <w:rFonts w:ascii="黑体" w:hAnsi="黑体" w:eastAsia="黑体" w:cs="黑体"/>
                <w:b/>
                <w:bCs/>
                <w:i w:val="0"/>
                <w:color w:val="000000"/>
                <w:spacing w:val="0"/>
                <w:sz w:val="21"/>
              </w:rPr>
              <w:t>全员应用</w:t>
            </w:r>
          </w:p>
        </w:tc>
        <w:tc>
          <w:tcPr>
            <w:tcW w:w="731" w:type="pct"/>
            <w:vMerge w:val="restart"/>
            <w:vAlign w:val="center"/>
          </w:tcPr>
          <w:p w14:paraId="584EF72A">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普及度</w:t>
            </w:r>
          </w:p>
        </w:tc>
        <w:tc>
          <w:tcPr>
            <w:tcW w:w="886" w:type="pct"/>
            <w:vAlign w:val="center"/>
          </w:tcPr>
          <w:p w14:paraId="3470281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教师用户认证率</w:t>
            </w:r>
          </w:p>
        </w:tc>
        <w:tc>
          <w:tcPr>
            <w:tcW w:w="1978" w:type="pct"/>
            <w:vAlign w:val="center"/>
          </w:tcPr>
          <w:p w14:paraId="3AFA558D">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中小学在职教师认证数/本地中小学专任教师数×100；按满分100计，以实际比率计分</w:t>
            </w:r>
          </w:p>
        </w:tc>
        <w:tc>
          <w:tcPr>
            <w:tcW w:w="311" w:type="pct"/>
            <w:vAlign w:val="center"/>
          </w:tcPr>
          <w:p w14:paraId="6FBC3E0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1B35EB9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15</w:t>
            </w:r>
          </w:p>
        </w:tc>
      </w:tr>
      <w:tr w14:paraId="5CF9E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662" w:type="pct"/>
            <w:vMerge w:val="continue"/>
          </w:tcPr>
          <w:p w14:paraId="5B210B9E"/>
        </w:tc>
        <w:tc>
          <w:tcPr>
            <w:tcW w:w="731" w:type="pct"/>
            <w:vMerge w:val="continue"/>
          </w:tcPr>
          <w:p w14:paraId="605F467A"/>
        </w:tc>
        <w:tc>
          <w:tcPr>
            <w:tcW w:w="886" w:type="pct"/>
            <w:vAlign w:val="center"/>
          </w:tcPr>
          <w:p w14:paraId="2B9EF55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学生用户注册率</w:t>
            </w:r>
          </w:p>
        </w:tc>
        <w:tc>
          <w:tcPr>
            <w:tcW w:w="1978" w:type="pct"/>
            <w:vAlign w:val="center"/>
          </w:tcPr>
          <w:p w14:paraId="1B25F8BA">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考虑学生使用家长账号注册的情况，中小学学生和家长智教通行证注册数/本地中小学在校学生数×100；按满分 100计，以实际比率计分</w:t>
            </w:r>
          </w:p>
        </w:tc>
        <w:tc>
          <w:tcPr>
            <w:tcW w:w="311" w:type="pct"/>
            <w:vAlign w:val="center"/>
          </w:tcPr>
          <w:p w14:paraId="4DCF2DC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49E7DFB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5</w:t>
            </w:r>
          </w:p>
        </w:tc>
      </w:tr>
      <w:tr w14:paraId="10F57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80" w:hRule="atLeast"/>
        </w:trPr>
        <w:tc>
          <w:tcPr>
            <w:tcW w:w="662" w:type="pct"/>
            <w:vMerge w:val="restart"/>
            <w:vAlign w:val="center"/>
          </w:tcPr>
          <w:p w14:paraId="4FC449E8">
            <w:pPr>
              <w:pageBreakBefore w:val="0"/>
              <w:wordWrap w:val="0"/>
              <w:spacing w:before="0" w:after="0" w:line="280" w:lineRule="atLeast"/>
              <w:ind w:left="0" w:right="0"/>
              <w:jc w:val="center"/>
              <w:textAlignment w:val="baseline"/>
              <w:rPr>
                <w:sz w:val="21"/>
              </w:rPr>
            </w:pPr>
            <w:r>
              <w:rPr>
                <w:rFonts w:ascii="黑体" w:hAnsi="黑体" w:eastAsia="黑体" w:cs="黑体"/>
                <w:b/>
                <w:bCs/>
                <w:i w:val="0"/>
                <w:color w:val="000000"/>
                <w:spacing w:val="0"/>
                <w:sz w:val="21"/>
              </w:rPr>
              <w:t>全流程应用</w:t>
            </w:r>
          </w:p>
        </w:tc>
        <w:tc>
          <w:tcPr>
            <w:tcW w:w="731" w:type="pct"/>
            <w:vAlign w:val="center"/>
          </w:tcPr>
          <w:p w14:paraId="26ABC20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教</w:t>
            </w:r>
          </w:p>
        </w:tc>
        <w:tc>
          <w:tcPr>
            <w:tcW w:w="886" w:type="pct"/>
            <w:vAlign w:val="top"/>
          </w:tcPr>
          <w:p w14:paraId="71213F1E">
            <w:pPr>
              <w:pageBreakBefore w:val="0"/>
              <w:wordWrap w:val="0"/>
              <w:spacing w:before="0" w:after="0" w:line="280" w:lineRule="atLeast"/>
              <w:ind w:right="0"/>
              <w:jc w:val="both"/>
              <w:textAlignment w:val="baseline"/>
              <w:rPr>
                <w:sz w:val="21"/>
              </w:rPr>
            </w:pP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平台资源教师</w:t>
            </w:r>
          </w:p>
          <w:p w14:paraId="35ABAD7B">
            <w:pPr>
              <w:pageBreakBefore w:val="0"/>
              <w:wordWrap w:val="0"/>
              <w:spacing w:before="0" w:after="0" w:line="280" w:lineRule="atLeast"/>
              <w:ind w:right="40"/>
              <w:jc w:val="center"/>
              <w:textAlignment w:val="baseline"/>
              <w:rPr>
                <w:rFonts w:hint="eastAsia" w:ascii="黑体" w:hAnsi="黑体" w:eastAsia="黑体" w:cs="黑体"/>
                <w:b w:val="0"/>
                <w:i w:val="0"/>
                <w:color w:val="000000"/>
                <w:spacing w:val="0"/>
                <w:sz w:val="21"/>
                <w:lang w:val="en-US" w:eastAsia="zh-CN"/>
              </w:rPr>
            </w:pPr>
            <w:r>
              <w:rPr>
                <w:rFonts w:ascii="黑体" w:hAnsi="黑体" w:eastAsia="黑体" w:cs="黑体"/>
                <w:b w:val="0"/>
                <w:i w:val="0"/>
                <w:color w:val="000000"/>
                <w:spacing w:val="0"/>
                <w:sz w:val="21"/>
              </w:rPr>
              <w:t>每百人访问</w:t>
            </w:r>
            <w:r>
              <w:rPr>
                <w:rFonts w:hint="eastAsia" w:ascii="黑体" w:hAnsi="黑体" w:eastAsia="黑体" w:cs="黑体"/>
                <w:b w:val="0"/>
                <w:i w:val="0"/>
                <w:color w:val="000000"/>
                <w:spacing w:val="0"/>
                <w:sz w:val="21"/>
                <w:lang w:val="en-US" w:eastAsia="zh-CN"/>
              </w:rPr>
              <w:t>量</w:t>
            </w:r>
          </w:p>
          <w:p w14:paraId="5C19BED6">
            <w:pPr>
              <w:pageBreakBefore w:val="0"/>
              <w:wordWrap w:val="0"/>
              <w:spacing w:before="0" w:after="0" w:line="280" w:lineRule="atLeast"/>
              <w:ind w:right="40"/>
              <w:jc w:val="both"/>
              <w:textAlignment w:val="baseline"/>
              <w:rPr>
                <w:sz w:val="21"/>
              </w:rPr>
            </w:pPr>
            <w:r>
              <w:rPr>
                <w:rFonts w:ascii="黑体" w:hAnsi="黑体" w:eastAsia="黑体" w:cs="黑体"/>
                <w:b w:val="0"/>
                <w:i w:val="0"/>
                <w:color w:val="000000"/>
                <w:spacing w:val="0"/>
                <w:sz w:val="21"/>
              </w:rPr>
              <w:t>(含省级地方频道；已接入国家枢纽的省级平台资源访问情况按照数据通要求及埋点规范进行上报)</w:t>
            </w:r>
          </w:p>
        </w:tc>
        <w:tc>
          <w:tcPr>
            <w:tcW w:w="1978" w:type="pct"/>
            <w:vAlign w:val="center"/>
          </w:tcPr>
          <w:p w14:paraId="47BD318F">
            <w:pPr>
              <w:pageBreakBefore w:val="0"/>
              <w:wordWrap/>
              <w:spacing w:before="0" w:after="0" w:line="280" w:lineRule="atLeast"/>
              <w:ind w:left="0" w:right="0" w:firstLine="40"/>
              <w:jc w:val="left"/>
              <w:textAlignment w:val="baseline"/>
              <w:rPr>
                <w:sz w:val="21"/>
              </w:rPr>
            </w:pPr>
            <w:r>
              <w:rPr>
                <w:rFonts w:ascii="黑体" w:hAnsi="黑体" w:eastAsia="黑体" w:cs="黑体"/>
                <w:b w:val="0"/>
                <w:i w:val="0"/>
                <w:color w:val="000000"/>
                <w:spacing w:val="0"/>
                <w:sz w:val="21"/>
              </w:rPr>
              <w:t>本地中小学教师每月平台资源访问量/本地中小学专任教师数×100名(即每百名教师访问量)；达到400次及以上，按满分100计，不足400次，按每百名教师访问量/400×100计；指标最终得分取月得分均值</w:t>
            </w:r>
          </w:p>
        </w:tc>
        <w:tc>
          <w:tcPr>
            <w:tcW w:w="311" w:type="pct"/>
            <w:vAlign w:val="center"/>
          </w:tcPr>
          <w:p w14:paraId="5BEF344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233243CB">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w:t>
            </w:r>
          </w:p>
        </w:tc>
      </w:tr>
      <w:tr w14:paraId="65DC7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662" w:type="pct"/>
            <w:vMerge w:val="continue"/>
          </w:tcPr>
          <w:p w14:paraId="28473800"/>
        </w:tc>
        <w:tc>
          <w:tcPr>
            <w:tcW w:w="731" w:type="pct"/>
            <w:vAlign w:val="center"/>
          </w:tcPr>
          <w:p w14:paraId="4D4A6B9A">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研</w:t>
            </w:r>
          </w:p>
        </w:tc>
        <w:tc>
          <w:tcPr>
            <w:tcW w:w="886" w:type="pct"/>
            <w:vAlign w:val="center"/>
          </w:tcPr>
          <w:p w14:paraId="006B5F72">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教师专题研修完训情况</w:t>
            </w:r>
          </w:p>
        </w:tc>
        <w:tc>
          <w:tcPr>
            <w:tcW w:w="1978" w:type="pct"/>
            <w:vAlign w:val="center"/>
          </w:tcPr>
          <w:p w14:paraId="2A555CAD">
            <w:pPr>
              <w:pageBreakBefore w:val="0"/>
              <w:wordWrap/>
              <w:spacing w:before="0" w:after="0" w:line="280" w:lineRule="atLeast"/>
              <w:ind w:left="0" w:right="0"/>
              <w:jc w:val="left"/>
              <w:textAlignment w:val="baseline"/>
              <w:rPr>
                <w:sz w:val="21"/>
              </w:rPr>
            </w:pPr>
            <w:r>
              <w:rPr>
                <w:rFonts w:ascii="黑体" w:hAnsi="黑体" w:eastAsia="黑体" w:cs="黑体"/>
                <w:b w:val="0"/>
                <w:i w:val="0"/>
                <w:color w:val="000000"/>
                <w:spacing w:val="0"/>
                <w:sz w:val="21"/>
              </w:rPr>
              <w:t>当年寒暑期教师专题研修活动获得任意一次培训证书的中小学在职教师数/本地中小学专任教师数×100;满分100,超出100按100计</w:t>
            </w:r>
          </w:p>
        </w:tc>
        <w:tc>
          <w:tcPr>
            <w:tcW w:w="311" w:type="pct"/>
            <w:vAlign w:val="center"/>
          </w:tcPr>
          <w:p w14:paraId="4045141E">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428" w:type="pct"/>
            <w:vAlign w:val="center"/>
          </w:tcPr>
          <w:p w14:paraId="27399CDB">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w:t>
            </w:r>
          </w:p>
        </w:tc>
      </w:tr>
    </w:tbl>
    <w:p w14:paraId="0161CCB6">
      <w:pPr>
        <w:pageBreakBefore w:val="0"/>
        <w:wordWrap w:val="0"/>
        <w:spacing w:before="0" w:after="0" w:line="200" w:lineRule="exact"/>
        <w:ind w:left="0" w:right="0"/>
        <w:jc w:val="left"/>
        <w:textAlignment w:val="baseline"/>
        <w:rPr>
          <w:sz w:val="21"/>
        </w:rPr>
      </w:pPr>
    </w:p>
    <w:p w14:paraId="56C0BBB1">
      <w:pPr>
        <w:pageBreakBefore w:val="0"/>
        <w:wordWrap w:val="0"/>
        <w:spacing w:before="0" w:after="0" w:line="280" w:lineRule="atLeast"/>
        <w:ind w:right="0" w:firstLine="600" w:firstLineChars="300"/>
        <w:jc w:val="both"/>
        <w:textAlignment w:val="baseline"/>
        <w:rPr>
          <w:sz w:val="20"/>
        </w:rPr>
      </w:pPr>
      <w:r>
        <w:rPr>
          <w:rFonts w:ascii="黑体" w:hAnsi="黑体" w:eastAsia="黑体" w:cs="黑体"/>
          <w:b w:val="0"/>
          <w:i w:val="0"/>
          <w:color w:val="000000"/>
          <w:spacing w:val="0"/>
          <w:sz w:val="20"/>
        </w:rPr>
        <w:t>备注：中小学在职教师数指在国家中小学平台完成认证的教师数</w:t>
      </w:r>
    </w:p>
    <w:p w14:paraId="279F3F0E">
      <w:pPr>
        <w:pageBreakBefore w:val="0"/>
        <w:wordWrap w:val="0"/>
        <w:spacing w:before="0" w:after="0" w:line="280" w:lineRule="atLeast"/>
        <w:ind w:right="0" w:firstLine="1200" w:firstLineChars="600"/>
        <w:jc w:val="both"/>
        <w:textAlignment w:val="baseline"/>
        <w:rPr>
          <w:sz w:val="20"/>
        </w:rPr>
      </w:pPr>
      <w:r>
        <w:rPr>
          <w:rFonts w:ascii="黑体" w:hAnsi="黑体" w:eastAsia="黑体" w:cs="黑体"/>
          <w:b w:val="0"/>
          <w:i w:val="0"/>
          <w:color w:val="000000"/>
          <w:spacing w:val="0"/>
          <w:sz w:val="20"/>
        </w:rPr>
        <w:t>中小学专任教师数使用各省上报的教育统计数据</w:t>
      </w:r>
    </w:p>
    <w:p w14:paraId="7A4E78D8">
      <w:pPr>
        <w:pageBreakBefore w:val="0"/>
        <w:wordWrap w:val="0"/>
        <w:spacing w:before="0" w:after="0" w:line="280" w:lineRule="atLeast"/>
        <w:ind w:right="0" w:firstLine="1200" w:firstLineChars="600"/>
        <w:jc w:val="both"/>
        <w:textAlignment w:val="baseline"/>
      </w:pPr>
      <w:r>
        <w:rPr>
          <w:rFonts w:ascii="黑体" w:hAnsi="黑体" w:eastAsia="黑体" w:cs="黑体"/>
          <w:b w:val="0"/>
          <w:i w:val="0"/>
          <w:color w:val="000000"/>
          <w:spacing w:val="0"/>
          <w:sz w:val="20"/>
        </w:rPr>
        <w:t>中小学在校学生数使用各省上报的教育统计数据</w:t>
      </w:r>
    </w:p>
    <w:p w14:paraId="502752EE">
      <w:pPr>
        <w:pageBreakBefore w:val="0"/>
        <w:wordWrap w:val="0"/>
        <w:spacing w:before="500" w:after="0" w:line="400" w:lineRule="atLeast"/>
        <w:ind w:left="0" w:right="0"/>
        <w:jc w:val="center"/>
        <w:textAlignment w:val="baseline"/>
        <w:rPr>
          <w:sz w:val="30"/>
        </w:rPr>
      </w:pPr>
      <w:r>
        <w:rPr>
          <w:rFonts w:ascii="黑体" w:hAnsi="黑体" w:eastAsia="黑体" w:cs="黑体"/>
          <w:b w:val="0"/>
          <w:i w:val="0"/>
          <w:color w:val="000000"/>
          <w:spacing w:val="0"/>
          <w:sz w:val="30"/>
        </w:rPr>
        <w:t>(深化应用阶段指标)</w:t>
      </w:r>
    </w:p>
    <w:tbl>
      <w:tblPr>
        <w:tblStyle w:val="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41"/>
        <w:gridCol w:w="1059"/>
        <w:gridCol w:w="2314"/>
        <w:gridCol w:w="3250"/>
        <w:gridCol w:w="565"/>
        <w:gridCol w:w="618"/>
      </w:tblGrid>
      <w:tr w14:paraId="09C83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8" w:type="pct"/>
            <w:vAlign w:val="center"/>
          </w:tcPr>
          <w:p w14:paraId="30A50681">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一级指标</w:t>
            </w:r>
          </w:p>
        </w:tc>
        <w:tc>
          <w:tcPr>
            <w:tcW w:w="598" w:type="pct"/>
            <w:vAlign w:val="center"/>
          </w:tcPr>
          <w:p w14:paraId="585FDE4E">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二级指标</w:t>
            </w:r>
          </w:p>
        </w:tc>
        <w:tc>
          <w:tcPr>
            <w:tcW w:w="1307" w:type="pct"/>
            <w:vAlign w:val="center"/>
          </w:tcPr>
          <w:p w14:paraId="4BD29C9F">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三级指标</w:t>
            </w:r>
          </w:p>
        </w:tc>
        <w:tc>
          <w:tcPr>
            <w:tcW w:w="1836" w:type="pct"/>
            <w:vAlign w:val="center"/>
          </w:tcPr>
          <w:p w14:paraId="0FF0FBC2">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计算规则</w:t>
            </w:r>
          </w:p>
        </w:tc>
        <w:tc>
          <w:tcPr>
            <w:tcW w:w="319" w:type="pct"/>
            <w:vAlign w:val="center"/>
          </w:tcPr>
          <w:p w14:paraId="4C8536ED">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分值</w:t>
            </w:r>
          </w:p>
        </w:tc>
        <w:tc>
          <w:tcPr>
            <w:tcW w:w="349" w:type="pct"/>
            <w:vAlign w:val="center"/>
          </w:tcPr>
          <w:p w14:paraId="0EF50BD4">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权重</w:t>
            </w:r>
          </w:p>
        </w:tc>
      </w:tr>
      <w:tr w14:paraId="52E4A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jc w:val="center"/>
        </w:trPr>
        <w:tc>
          <w:tcPr>
            <w:tcW w:w="588" w:type="pct"/>
            <w:vMerge w:val="restart"/>
            <w:vAlign w:val="center"/>
          </w:tcPr>
          <w:p w14:paraId="6C1F7277">
            <w:pPr>
              <w:pageBreakBefore w:val="0"/>
              <w:wordWrap w:val="0"/>
              <w:spacing w:before="0" w:after="0" w:line="260" w:lineRule="atLeast"/>
              <w:ind w:left="0" w:right="0"/>
              <w:jc w:val="center"/>
              <w:textAlignment w:val="baseline"/>
              <w:rPr>
                <w:sz w:val="20"/>
              </w:rPr>
            </w:pPr>
            <w:r>
              <w:rPr>
                <w:rFonts w:ascii="黑体" w:hAnsi="黑体" w:eastAsia="黑体" w:cs="黑体"/>
                <w:b/>
                <w:i w:val="0"/>
                <w:color w:val="000000"/>
                <w:spacing w:val="0"/>
                <w:sz w:val="20"/>
              </w:rPr>
              <w:t>全域应用</w:t>
            </w:r>
          </w:p>
        </w:tc>
        <w:tc>
          <w:tcPr>
            <w:tcW w:w="598" w:type="pct"/>
            <w:vMerge w:val="restart"/>
            <w:vAlign w:val="center"/>
          </w:tcPr>
          <w:p w14:paraId="30E319CB">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覆盖度</w:t>
            </w:r>
          </w:p>
        </w:tc>
        <w:tc>
          <w:tcPr>
            <w:tcW w:w="1307" w:type="pct"/>
            <w:vAlign w:val="center"/>
          </w:tcPr>
          <w:p w14:paraId="5E118E5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省市县管理员活跃率</w:t>
            </w:r>
          </w:p>
        </w:tc>
        <w:tc>
          <w:tcPr>
            <w:tcW w:w="1836" w:type="pct"/>
            <w:vAlign w:val="center"/>
          </w:tcPr>
          <w:p w14:paraId="5F6C2E24">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每月上线1次及以上的区域超管数/本地超管总数×100；按满分100计，以实际比率计分；指标最终得分取月得分均值</w:t>
            </w:r>
          </w:p>
        </w:tc>
        <w:tc>
          <w:tcPr>
            <w:tcW w:w="319" w:type="pct"/>
            <w:vAlign w:val="center"/>
          </w:tcPr>
          <w:p w14:paraId="50D2A2C1">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3578618F">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5</w:t>
            </w:r>
          </w:p>
        </w:tc>
      </w:tr>
      <w:tr w14:paraId="7FBF0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jc w:val="center"/>
        </w:trPr>
        <w:tc>
          <w:tcPr>
            <w:tcW w:w="588" w:type="pct"/>
            <w:vMerge w:val="continue"/>
          </w:tcPr>
          <w:p w14:paraId="0E88379A"/>
        </w:tc>
        <w:tc>
          <w:tcPr>
            <w:tcW w:w="598" w:type="pct"/>
            <w:vMerge w:val="continue"/>
          </w:tcPr>
          <w:p w14:paraId="404C71AB"/>
        </w:tc>
        <w:tc>
          <w:tcPr>
            <w:tcW w:w="1307" w:type="pct"/>
            <w:vAlign w:val="center"/>
          </w:tcPr>
          <w:p w14:paraId="3AA0F58B">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校级管理员活跃率</w:t>
            </w:r>
          </w:p>
        </w:tc>
        <w:tc>
          <w:tcPr>
            <w:tcW w:w="1836" w:type="pct"/>
            <w:vAlign w:val="center"/>
          </w:tcPr>
          <w:p w14:paraId="79ACF38A">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每月上线1次及以上的学校超管数/本地校级超管总数×100；学校仅计算中小学校；按满分100计，以实际比率计分；指标最终得分取月得分均值</w:t>
            </w:r>
          </w:p>
        </w:tc>
        <w:tc>
          <w:tcPr>
            <w:tcW w:w="319" w:type="pct"/>
            <w:vAlign w:val="center"/>
          </w:tcPr>
          <w:p w14:paraId="3804C689">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1CABF8FE">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5</w:t>
            </w:r>
          </w:p>
        </w:tc>
      </w:tr>
      <w:tr w14:paraId="54370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jc w:val="center"/>
        </w:trPr>
        <w:tc>
          <w:tcPr>
            <w:tcW w:w="588" w:type="pct"/>
            <w:vMerge w:val="continue"/>
          </w:tcPr>
          <w:p w14:paraId="117C44B5"/>
        </w:tc>
        <w:tc>
          <w:tcPr>
            <w:tcW w:w="598" w:type="pct"/>
            <w:vMerge w:val="continue"/>
          </w:tcPr>
          <w:p w14:paraId="050632CF"/>
        </w:tc>
        <w:tc>
          <w:tcPr>
            <w:tcW w:w="1307" w:type="pct"/>
            <w:vAlign w:val="center"/>
          </w:tcPr>
          <w:p w14:paraId="60B6B492">
            <w:pPr>
              <w:pageBreakBefore w:val="0"/>
              <w:wordWrap w:val="0"/>
              <w:spacing w:before="0" w:after="0" w:line="280" w:lineRule="atLeast"/>
              <w:ind w:left="0" w:right="0"/>
              <w:jc w:val="center"/>
              <w:textAlignment w:val="baseline"/>
              <w:rPr>
                <w:sz w:val="20"/>
              </w:rPr>
            </w:pPr>
            <w:r>
              <w:rPr>
                <w:rFonts w:ascii="黑体" w:hAnsi="黑体" w:eastAsia="黑体" w:cs="黑体"/>
                <w:b w:val="0"/>
                <w:i w:val="0"/>
                <w:color w:val="000000"/>
                <w:spacing w:val="0"/>
                <w:sz w:val="20"/>
              </w:rPr>
              <w:t>教师用户</w:t>
            </w:r>
          </w:p>
          <w:p w14:paraId="07634134">
            <w:pPr>
              <w:pageBreakBefore w:val="0"/>
              <w:wordWrap w:val="0"/>
              <w:spacing w:before="0" w:after="0" w:line="280" w:lineRule="atLeast"/>
              <w:ind w:left="660" w:right="0"/>
              <w:jc w:val="both"/>
              <w:textAlignment w:val="baseline"/>
              <w:rPr>
                <w:sz w:val="20"/>
              </w:rPr>
            </w:pPr>
            <w:r>
              <w:rPr>
                <w:rFonts w:ascii="黑体" w:hAnsi="黑体" w:eastAsia="黑体" w:cs="黑体"/>
                <w:b w:val="0"/>
                <w:i w:val="0"/>
                <w:color w:val="000000"/>
                <w:spacing w:val="0"/>
                <w:sz w:val="20"/>
              </w:rPr>
              <w:t>活跃市县比率</w:t>
            </w:r>
          </w:p>
        </w:tc>
        <w:tc>
          <w:tcPr>
            <w:tcW w:w="1836" w:type="pct"/>
            <w:vAlign w:val="center"/>
          </w:tcPr>
          <w:p w14:paraId="4332A273">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50%以上中小学在职教师每季度上线1次及以上的市县/本地所有市县×100；按满分100计，以实际比率计分；指标最终得分取季度得分均值</w:t>
            </w:r>
          </w:p>
        </w:tc>
        <w:tc>
          <w:tcPr>
            <w:tcW w:w="319" w:type="pct"/>
            <w:vAlign w:val="center"/>
          </w:tcPr>
          <w:p w14:paraId="4613DF4B">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6EBB732D">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w:t>
            </w:r>
          </w:p>
        </w:tc>
      </w:tr>
      <w:tr w14:paraId="03879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jc w:val="center"/>
        </w:trPr>
        <w:tc>
          <w:tcPr>
            <w:tcW w:w="588" w:type="pct"/>
            <w:vMerge w:val="restart"/>
            <w:vAlign w:val="center"/>
          </w:tcPr>
          <w:p w14:paraId="69B2B4AB">
            <w:pPr>
              <w:pageBreakBefore w:val="0"/>
              <w:wordWrap w:val="0"/>
              <w:spacing w:before="0" w:after="0" w:line="260" w:lineRule="atLeast"/>
              <w:ind w:left="0" w:right="0"/>
              <w:jc w:val="center"/>
              <w:textAlignment w:val="baseline"/>
              <w:rPr>
                <w:sz w:val="20"/>
              </w:rPr>
            </w:pPr>
            <w:r>
              <w:rPr>
                <w:rFonts w:ascii="黑体" w:hAnsi="黑体" w:eastAsia="黑体" w:cs="黑体"/>
                <w:b/>
                <w:i w:val="0"/>
                <w:color w:val="000000"/>
                <w:spacing w:val="0"/>
                <w:sz w:val="20"/>
              </w:rPr>
              <w:t>全员应用</w:t>
            </w:r>
          </w:p>
        </w:tc>
        <w:tc>
          <w:tcPr>
            <w:tcW w:w="598" w:type="pct"/>
            <w:vMerge w:val="restart"/>
            <w:vAlign w:val="center"/>
          </w:tcPr>
          <w:p w14:paraId="3C04CB2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活跃度</w:t>
            </w:r>
          </w:p>
        </w:tc>
        <w:tc>
          <w:tcPr>
            <w:tcW w:w="1307" w:type="pct"/>
            <w:vAlign w:val="center"/>
          </w:tcPr>
          <w:p w14:paraId="68806E2C">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教师用户活跃率</w:t>
            </w:r>
          </w:p>
        </w:tc>
        <w:tc>
          <w:tcPr>
            <w:tcW w:w="1836" w:type="pct"/>
            <w:vAlign w:val="center"/>
          </w:tcPr>
          <w:p w14:paraId="7F7C6640">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每季度使用平台1次的中小学在职教师数/本地中小学专任教师数×40+每季度使用平台2次及以上的中小学在职教师数/本地中小学专任教师数×</w:t>
            </w:r>
            <w:r>
              <w:rPr>
                <w:rFonts w:hint="eastAsia" w:ascii="黑体" w:hAnsi="黑体" w:eastAsia="黑体" w:cs="黑体"/>
                <w:b w:val="0"/>
                <w:i w:val="0"/>
                <w:color w:val="000000"/>
                <w:spacing w:val="0"/>
                <w:sz w:val="20"/>
                <w:lang w:val="en-US" w:eastAsia="zh-CN"/>
              </w:rPr>
              <w:t xml:space="preserve"> </w:t>
            </w:r>
            <w:r>
              <w:rPr>
                <w:rFonts w:ascii="黑体" w:hAnsi="黑体" w:eastAsia="黑体" w:cs="黑体"/>
                <w:b w:val="0"/>
                <w:i w:val="0"/>
                <w:color w:val="000000"/>
                <w:spacing w:val="0"/>
                <w:sz w:val="20"/>
              </w:rPr>
              <w:t>60；按满分100计，以实际比率计分；指标最终得分取季度得分均值</w:t>
            </w:r>
          </w:p>
        </w:tc>
        <w:tc>
          <w:tcPr>
            <w:tcW w:w="319" w:type="pct"/>
            <w:vAlign w:val="center"/>
          </w:tcPr>
          <w:p w14:paraId="0DEDB7B0">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6CBCBD97">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w:t>
            </w:r>
          </w:p>
        </w:tc>
      </w:tr>
      <w:tr w14:paraId="17C63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0" w:hRule="atLeast"/>
          <w:jc w:val="center"/>
        </w:trPr>
        <w:tc>
          <w:tcPr>
            <w:tcW w:w="588" w:type="pct"/>
            <w:vMerge w:val="continue"/>
          </w:tcPr>
          <w:p w14:paraId="7DF44408"/>
        </w:tc>
        <w:tc>
          <w:tcPr>
            <w:tcW w:w="598" w:type="pct"/>
            <w:vMerge w:val="continue"/>
          </w:tcPr>
          <w:p w14:paraId="0AF1BB3F"/>
        </w:tc>
        <w:tc>
          <w:tcPr>
            <w:tcW w:w="1307" w:type="pct"/>
            <w:vAlign w:val="center"/>
          </w:tcPr>
          <w:p w14:paraId="55C38E52">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学生用户活跃率</w:t>
            </w:r>
          </w:p>
        </w:tc>
        <w:tc>
          <w:tcPr>
            <w:tcW w:w="1836" w:type="pct"/>
            <w:vAlign w:val="center"/>
          </w:tcPr>
          <w:p w14:paraId="2DD48457">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考虑学生使用家长账号访问的情况，每季度使用平台1次的中小学在校学生数(含家长)/本地中小学在校学生数×40+每季度使用平台2次及以上的中小学在校学生数(含家长)/本地中小学在校学生数×60；按满分100计，以实际比率计分；指标最终得分取季度得分均值</w:t>
            </w:r>
          </w:p>
        </w:tc>
        <w:tc>
          <w:tcPr>
            <w:tcW w:w="319" w:type="pct"/>
            <w:vAlign w:val="center"/>
          </w:tcPr>
          <w:p w14:paraId="14463357">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44903733">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5</w:t>
            </w:r>
          </w:p>
        </w:tc>
      </w:tr>
      <w:tr w14:paraId="0374E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80" w:hRule="atLeast"/>
          <w:jc w:val="center"/>
        </w:trPr>
        <w:tc>
          <w:tcPr>
            <w:tcW w:w="588" w:type="pct"/>
            <w:vMerge w:val="restart"/>
            <w:vAlign w:val="center"/>
          </w:tcPr>
          <w:p w14:paraId="4E61BCEE">
            <w:pPr>
              <w:pageBreakBefore w:val="0"/>
              <w:wordWrap w:val="0"/>
              <w:spacing w:before="0" w:after="0" w:line="260" w:lineRule="atLeast"/>
              <w:ind w:left="0" w:right="0"/>
              <w:jc w:val="center"/>
              <w:textAlignment w:val="baseline"/>
              <w:rPr>
                <w:sz w:val="20"/>
              </w:rPr>
            </w:pPr>
            <w:r>
              <w:rPr>
                <w:rFonts w:ascii="黑体" w:hAnsi="黑体" w:eastAsia="黑体" w:cs="黑体"/>
                <w:b/>
                <w:i w:val="0"/>
                <w:color w:val="000000"/>
                <w:spacing w:val="0"/>
                <w:sz w:val="20"/>
              </w:rPr>
              <w:t>全流程应用</w:t>
            </w:r>
          </w:p>
        </w:tc>
        <w:tc>
          <w:tcPr>
            <w:tcW w:w="598" w:type="pct"/>
            <w:vMerge w:val="restart"/>
            <w:vAlign w:val="center"/>
          </w:tcPr>
          <w:p w14:paraId="21DB2E6F">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教</w:t>
            </w:r>
          </w:p>
        </w:tc>
        <w:tc>
          <w:tcPr>
            <w:tcW w:w="1307" w:type="pct"/>
            <w:vAlign w:val="center"/>
          </w:tcPr>
          <w:p w14:paraId="2E2E1B8C">
            <w:pPr>
              <w:pageBreakBefore w:val="0"/>
              <w:wordWrap w:val="0"/>
              <w:spacing w:before="0" w:after="0" w:line="280" w:lineRule="atLeast"/>
              <w:ind w:left="0" w:right="0"/>
              <w:jc w:val="center"/>
              <w:textAlignment w:val="baseline"/>
              <w:rPr>
                <w:sz w:val="20"/>
              </w:rPr>
            </w:pPr>
            <w:r>
              <w:rPr>
                <w:rFonts w:ascii="黑体" w:hAnsi="黑体" w:eastAsia="黑体" w:cs="黑体"/>
                <w:b w:val="0"/>
                <w:i w:val="0"/>
                <w:color w:val="000000"/>
                <w:spacing w:val="0"/>
                <w:sz w:val="20"/>
              </w:rPr>
              <w:t>平台资源教师</w:t>
            </w:r>
          </w:p>
          <w:p w14:paraId="7D20DCA1">
            <w:pPr>
              <w:pageBreakBefore w:val="0"/>
              <w:wordWrap w:val="0"/>
              <w:spacing w:before="0" w:after="0" w:line="280" w:lineRule="atLeast"/>
              <w:ind w:right="0"/>
              <w:jc w:val="center"/>
              <w:textAlignment w:val="baseline"/>
              <w:rPr>
                <w:sz w:val="20"/>
              </w:rPr>
            </w:pPr>
            <w:r>
              <w:rPr>
                <w:rFonts w:ascii="黑体" w:hAnsi="黑体" w:eastAsia="黑体" w:cs="黑体"/>
                <w:b w:val="0"/>
                <w:i w:val="0"/>
                <w:color w:val="000000"/>
                <w:spacing w:val="0"/>
                <w:sz w:val="20"/>
              </w:rPr>
              <w:t>每百人访问量</w:t>
            </w:r>
          </w:p>
          <w:p w14:paraId="57CB3C88">
            <w:pPr>
              <w:pageBreakBefore w:val="0"/>
              <w:wordWrap w:val="0"/>
              <w:spacing w:before="0" w:after="0" w:line="280" w:lineRule="atLeast"/>
              <w:ind w:left="140" w:right="120" w:firstLine="140"/>
              <w:jc w:val="both"/>
              <w:textAlignment w:val="baseline"/>
              <w:rPr>
                <w:sz w:val="20"/>
              </w:rPr>
            </w:pPr>
            <w:r>
              <w:rPr>
                <w:rFonts w:ascii="黑体" w:hAnsi="黑体" w:eastAsia="黑体" w:cs="黑体"/>
                <w:b w:val="0"/>
                <w:i w:val="0"/>
                <w:color w:val="000000"/>
                <w:spacing w:val="0"/>
                <w:sz w:val="20"/>
              </w:rPr>
              <w:t>(含省级地方频道；已接入国家枢纽的省级平台资源访问情况按照数据通要求及埋点规范进行上报)</w:t>
            </w:r>
          </w:p>
        </w:tc>
        <w:tc>
          <w:tcPr>
            <w:tcW w:w="1836" w:type="pct"/>
            <w:vAlign w:val="center"/>
          </w:tcPr>
          <w:p w14:paraId="59D9CDF3">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本地中小学教师每月平台资源访问量/本地中小学专任教师数×100名 (即每百名教师访问量)；达到400次及以上,按满分100计,不足 400次,按每百名教师访问量/400×100计；指标最终得分取月得分均值</w:t>
            </w:r>
          </w:p>
        </w:tc>
        <w:tc>
          <w:tcPr>
            <w:tcW w:w="319" w:type="pct"/>
            <w:vAlign w:val="center"/>
          </w:tcPr>
          <w:p w14:paraId="500FEE85">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26A9D40C">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w:t>
            </w:r>
          </w:p>
        </w:tc>
      </w:tr>
      <w:tr w14:paraId="78F7A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0" w:hRule="atLeast"/>
          <w:jc w:val="center"/>
        </w:trPr>
        <w:tc>
          <w:tcPr>
            <w:tcW w:w="588" w:type="pct"/>
            <w:vMerge w:val="continue"/>
          </w:tcPr>
          <w:p w14:paraId="22FDEDB9"/>
        </w:tc>
        <w:tc>
          <w:tcPr>
            <w:tcW w:w="598" w:type="pct"/>
            <w:vMerge w:val="continue"/>
          </w:tcPr>
          <w:p w14:paraId="5AB3E3F3"/>
        </w:tc>
        <w:tc>
          <w:tcPr>
            <w:tcW w:w="1307" w:type="pct"/>
            <w:vAlign w:val="center"/>
          </w:tcPr>
          <w:p w14:paraId="32A04EE6">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教学类工具使用情况(国家平台教学类工具包括：触控屏、PPT备课、PPT授课；已接入国家枢纽的省级平台和已上架选用的第三方教学类应用/工具的使用情况按照数据通要求和埋点规范进行上报)</w:t>
            </w:r>
          </w:p>
        </w:tc>
        <w:tc>
          <w:tcPr>
            <w:tcW w:w="1836" w:type="pct"/>
            <w:vAlign w:val="center"/>
          </w:tcPr>
          <w:p w14:paraId="6A5F5DAD">
            <w:pPr>
              <w:pageBreakBefore w:val="0"/>
              <w:wordWrap w:val="0"/>
              <w:spacing w:before="0" w:after="0" w:line="260" w:lineRule="atLeast"/>
              <w:ind w:left="0" w:right="0"/>
              <w:jc w:val="both"/>
              <w:textAlignment w:val="baseline"/>
              <w:rPr>
                <w:sz w:val="20"/>
              </w:rPr>
            </w:pPr>
            <w:r>
              <w:rPr>
                <w:rFonts w:ascii="黑体" w:hAnsi="黑体" w:eastAsia="黑体" w:cs="黑体"/>
                <w:b w:val="0"/>
                <w:i w:val="0"/>
                <w:color w:val="000000"/>
                <w:spacing w:val="0"/>
                <w:sz w:val="20"/>
              </w:rPr>
              <w:t>每月本地中小学教师使用平台教学类工具次数总和/本地中小学专任教师数(即教师人均使用教学类工具次数)×100;满分100,超出100按100计;指标最终得分取月得分均值</w:t>
            </w:r>
          </w:p>
        </w:tc>
        <w:tc>
          <w:tcPr>
            <w:tcW w:w="319" w:type="pct"/>
            <w:vAlign w:val="center"/>
          </w:tcPr>
          <w:p w14:paraId="683410E5">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100</w:t>
            </w:r>
          </w:p>
        </w:tc>
        <w:tc>
          <w:tcPr>
            <w:tcW w:w="349" w:type="pct"/>
            <w:vAlign w:val="center"/>
          </w:tcPr>
          <w:p w14:paraId="77C5E4BE">
            <w:pPr>
              <w:pageBreakBefore w:val="0"/>
              <w:wordWrap w:val="0"/>
              <w:spacing w:before="0" w:after="0" w:line="260" w:lineRule="atLeast"/>
              <w:ind w:left="0" w:right="0"/>
              <w:jc w:val="center"/>
              <w:textAlignment w:val="baseline"/>
              <w:rPr>
                <w:sz w:val="20"/>
              </w:rPr>
            </w:pPr>
            <w:r>
              <w:rPr>
                <w:rFonts w:ascii="黑体" w:hAnsi="黑体" w:eastAsia="黑体" w:cs="黑体"/>
                <w:b w:val="0"/>
                <w:i w:val="0"/>
                <w:color w:val="000000"/>
                <w:spacing w:val="0"/>
                <w:sz w:val="20"/>
              </w:rPr>
              <w:t>15</w:t>
            </w:r>
          </w:p>
        </w:tc>
      </w:tr>
    </w:tbl>
    <w:p w14:paraId="2BD8E11E">
      <w:pPr>
        <w:pageBreakBefore w:val="0"/>
        <w:wordWrap w:val="0"/>
        <w:spacing w:before="0" w:after="0" w:line="280" w:lineRule="exact"/>
        <w:ind w:left="0" w:right="0"/>
        <w:jc w:val="center"/>
        <w:textAlignment w:val="baseline"/>
        <w:rPr>
          <w:sz w:val="19"/>
        </w:rPr>
      </w:pPr>
    </w:p>
    <w:p w14:paraId="05FC9533">
      <w:pPr>
        <w:pageBreakBefore w:val="0"/>
        <w:wordWrap w:val="0"/>
        <w:spacing w:before="0" w:after="0" w:line="280" w:lineRule="exact"/>
        <w:ind w:left="0" w:right="0"/>
        <w:jc w:val="center"/>
        <w:textAlignment w:val="baseline"/>
        <w:rPr>
          <w:sz w:val="19"/>
        </w:rPr>
      </w:pPr>
    </w:p>
    <w:p w14:paraId="1508B1C7">
      <w:pPr>
        <w:pageBreakBefore w:val="0"/>
        <w:wordWrap w:val="0"/>
        <w:spacing w:before="0" w:after="0" w:line="280" w:lineRule="exact"/>
        <w:ind w:left="0" w:right="0"/>
        <w:jc w:val="center"/>
        <w:textAlignment w:val="baseline"/>
        <w:rPr>
          <w:sz w:val="19"/>
        </w:rPr>
      </w:pPr>
      <w:bookmarkStart w:id="0" w:name="_GoBack"/>
      <w:bookmarkEnd w:id="0"/>
    </w:p>
    <w:p w14:paraId="6C3B0546"/>
    <w:p w14:paraId="27BBC432"/>
    <w:p w14:paraId="69AE7626"/>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63"/>
        <w:gridCol w:w="1065"/>
        <w:gridCol w:w="2307"/>
        <w:gridCol w:w="3249"/>
        <w:gridCol w:w="565"/>
        <w:gridCol w:w="602"/>
      </w:tblGrid>
      <w:tr w14:paraId="41C02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00" w:type="pct"/>
            <w:vAlign w:val="center"/>
          </w:tcPr>
          <w:p w14:paraId="59E013F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一级指标</w:t>
            </w:r>
          </w:p>
        </w:tc>
        <w:tc>
          <w:tcPr>
            <w:tcW w:w="601" w:type="pct"/>
            <w:vAlign w:val="center"/>
          </w:tcPr>
          <w:p w14:paraId="2A8CAF6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二级指标</w:t>
            </w:r>
          </w:p>
        </w:tc>
        <w:tc>
          <w:tcPr>
            <w:tcW w:w="1302" w:type="pct"/>
            <w:vAlign w:val="center"/>
          </w:tcPr>
          <w:p w14:paraId="32782AB6">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三级指标</w:t>
            </w:r>
          </w:p>
        </w:tc>
        <w:tc>
          <w:tcPr>
            <w:tcW w:w="1834" w:type="pct"/>
            <w:vAlign w:val="center"/>
          </w:tcPr>
          <w:p w14:paraId="456DB050">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计算规则</w:t>
            </w:r>
          </w:p>
        </w:tc>
        <w:tc>
          <w:tcPr>
            <w:tcW w:w="319" w:type="pct"/>
            <w:vAlign w:val="center"/>
          </w:tcPr>
          <w:p w14:paraId="4FFBAA9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分值</w:t>
            </w:r>
          </w:p>
        </w:tc>
        <w:tc>
          <w:tcPr>
            <w:tcW w:w="340" w:type="pct"/>
            <w:vAlign w:val="center"/>
          </w:tcPr>
          <w:p w14:paraId="0DFC3FC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权重</w:t>
            </w:r>
          </w:p>
        </w:tc>
      </w:tr>
      <w:tr w14:paraId="4E0BB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trPr>
        <w:tc>
          <w:tcPr>
            <w:tcW w:w="600" w:type="pct"/>
            <w:vMerge w:val="restart"/>
            <w:vAlign w:val="center"/>
          </w:tcPr>
          <w:p w14:paraId="74194150">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601" w:type="pct"/>
            <w:vAlign w:val="center"/>
          </w:tcPr>
          <w:p w14:paraId="717B6D2A">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学</w:t>
            </w:r>
          </w:p>
        </w:tc>
        <w:tc>
          <w:tcPr>
            <w:tcW w:w="1302" w:type="pct"/>
            <w:vAlign w:val="center"/>
          </w:tcPr>
          <w:p w14:paraId="2B69F67F">
            <w:pPr>
              <w:pageBreakBefore w:val="0"/>
              <w:wordWrap w:val="0"/>
              <w:spacing w:before="0" w:after="0" w:line="300" w:lineRule="atLeast"/>
              <w:ind w:left="0" w:right="0"/>
              <w:jc w:val="center"/>
              <w:textAlignment w:val="baseline"/>
              <w:rPr>
                <w:sz w:val="21"/>
              </w:rPr>
            </w:pPr>
            <w:r>
              <w:rPr>
                <w:rFonts w:ascii="黑体" w:hAnsi="黑体" w:eastAsia="黑体" w:cs="黑体"/>
                <w:b w:val="0"/>
                <w:i w:val="0"/>
                <w:color w:val="000000"/>
                <w:spacing w:val="0"/>
                <w:sz w:val="21"/>
              </w:rPr>
              <w:t>平台资源学生</w:t>
            </w:r>
          </w:p>
          <w:p w14:paraId="5D25F5F2">
            <w:pPr>
              <w:pageBreakBefore w:val="0"/>
              <w:wordWrap w:val="0"/>
              <w:spacing w:before="0" w:after="0" w:line="300" w:lineRule="atLeast"/>
              <w:ind w:right="0"/>
              <w:jc w:val="center"/>
              <w:textAlignment w:val="baseline"/>
              <w:rPr>
                <w:sz w:val="21"/>
              </w:rPr>
            </w:pPr>
            <w:r>
              <w:rPr>
                <w:rFonts w:ascii="黑体" w:hAnsi="黑体" w:eastAsia="黑体" w:cs="黑体"/>
                <w:b w:val="0"/>
                <w:i w:val="0"/>
                <w:color w:val="000000"/>
                <w:spacing w:val="0"/>
                <w:sz w:val="21"/>
              </w:rPr>
              <w:t>每百人访问量</w:t>
            </w:r>
          </w:p>
          <w:p w14:paraId="1AAFD1C4">
            <w:pPr>
              <w:pageBreakBefore w:val="0"/>
              <w:wordWrap w:val="0"/>
              <w:spacing w:before="0" w:after="0" w:line="300" w:lineRule="atLeast"/>
              <w:ind w:left="120" w:right="120" w:firstLine="120"/>
              <w:jc w:val="both"/>
              <w:textAlignment w:val="baseline"/>
              <w:rPr>
                <w:sz w:val="21"/>
              </w:rPr>
            </w:pPr>
            <w:r>
              <w:rPr>
                <w:rFonts w:ascii="黑体" w:hAnsi="黑体" w:eastAsia="黑体" w:cs="黑体"/>
                <w:b w:val="0"/>
                <w:i w:val="0"/>
                <w:color w:val="000000"/>
                <w:spacing w:val="0"/>
                <w:sz w:val="21"/>
              </w:rPr>
              <w:t>(含省级地方频道；已接入国家枢纽的省级平台资源访问情况按照数据通要求及埋点规范进行上报)</w:t>
            </w:r>
          </w:p>
        </w:tc>
        <w:tc>
          <w:tcPr>
            <w:tcW w:w="1834" w:type="pct"/>
            <w:vAlign w:val="center"/>
          </w:tcPr>
          <w:p w14:paraId="2D529DC8">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考虑学生使用家长账号访问的情况，本地中小学在校学生和家长每月平台资源访问量/本地中小学在校学生数×100名(即每百名学生含家长访问量);达100次及以上,按满分 100计，不足100次，按每百名学生(含家长)访问量/100×100计；指标最终得分取月得分均值</w:t>
            </w:r>
          </w:p>
        </w:tc>
        <w:tc>
          <w:tcPr>
            <w:tcW w:w="319" w:type="pct"/>
            <w:vAlign w:val="center"/>
          </w:tcPr>
          <w:p w14:paraId="4650402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1626C7DC">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5</w:t>
            </w:r>
          </w:p>
        </w:tc>
      </w:tr>
      <w:tr w14:paraId="08B30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600" w:type="pct"/>
            <w:vMerge w:val="continue"/>
          </w:tcPr>
          <w:p w14:paraId="3A37FFCE"/>
        </w:tc>
        <w:tc>
          <w:tcPr>
            <w:tcW w:w="601" w:type="pct"/>
            <w:vMerge w:val="restart"/>
            <w:vAlign w:val="center"/>
          </w:tcPr>
          <w:p w14:paraId="5841D137">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研</w:t>
            </w:r>
          </w:p>
        </w:tc>
        <w:tc>
          <w:tcPr>
            <w:tcW w:w="1302" w:type="pct"/>
            <w:vAlign w:val="center"/>
          </w:tcPr>
          <w:p w14:paraId="6C81EAF8">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教师专题研修完训情况</w:t>
            </w:r>
          </w:p>
        </w:tc>
        <w:tc>
          <w:tcPr>
            <w:tcW w:w="1834" w:type="pct"/>
            <w:vAlign w:val="center"/>
          </w:tcPr>
          <w:p w14:paraId="1845B78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当年寒暑期教师专题研修活动获得任意一次培训证书的中小学在职教师数/本地中小学专任教师数×100；满分100,超出100按100计</w:t>
            </w:r>
          </w:p>
        </w:tc>
        <w:tc>
          <w:tcPr>
            <w:tcW w:w="319" w:type="pct"/>
            <w:vAlign w:val="center"/>
          </w:tcPr>
          <w:p w14:paraId="459F12FE">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7F7425B8">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w:t>
            </w:r>
          </w:p>
        </w:tc>
      </w:tr>
      <w:tr w14:paraId="4E117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600" w:type="pct"/>
            <w:vMerge w:val="continue"/>
          </w:tcPr>
          <w:p w14:paraId="038FE1D9"/>
        </w:tc>
        <w:tc>
          <w:tcPr>
            <w:tcW w:w="601" w:type="pct"/>
            <w:vMerge w:val="continue"/>
          </w:tcPr>
          <w:p w14:paraId="35CDB892"/>
        </w:tc>
        <w:tc>
          <w:tcPr>
            <w:tcW w:w="1302" w:type="pct"/>
            <w:vAlign w:val="top"/>
          </w:tcPr>
          <w:p w14:paraId="1F6FE201">
            <w:pPr>
              <w:pageBreakBefore w:val="0"/>
              <w:wordWrap w:val="0"/>
              <w:spacing w:before="0" w:after="0" w:line="300" w:lineRule="atLeast"/>
              <w:ind w:left="0" w:right="0"/>
              <w:jc w:val="center"/>
              <w:textAlignment w:val="baseline"/>
              <w:rPr>
                <w:sz w:val="21"/>
              </w:rPr>
            </w:pPr>
            <w:r>
              <w:rPr>
                <w:rFonts w:ascii="黑体" w:hAnsi="黑体" w:eastAsia="黑体" w:cs="黑体"/>
                <w:b w:val="0"/>
                <w:i w:val="0"/>
                <w:color w:val="000000"/>
                <w:spacing w:val="0"/>
                <w:sz w:val="21"/>
              </w:rPr>
              <w:t>教研群活跃情况</w:t>
            </w:r>
          </w:p>
          <w:p w14:paraId="62B5B362">
            <w:pPr>
              <w:pageBreakBefore w:val="0"/>
              <w:wordWrap w:val="0"/>
              <w:spacing w:before="0" w:after="0" w:line="300" w:lineRule="atLeast"/>
              <w:ind w:left="120" w:right="120" w:firstLine="120"/>
              <w:jc w:val="both"/>
              <w:textAlignment w:val="baseline"/>
              <w:rPr>
                <w:sz w:val="21"/>
              </w:rPr>
            </w:pPr>
            <w:r>
              <w:rPr>
                <w:rFonts w:ascii="黑体" w:hAnsi="黑体" w:eastAsia="黑体" w:cs="黑体"/>
                <w:b w:val="0"/>
                <w:i w:val="0"/>
                <w:color w:val="000000"/>
                <w:spacing w:val="0"/>
                <w:sz w:val="21"/>
              </w:rPr>
              <w:t>(指在群聊中有发布活动即算活跃，仅有发言或分享行为不算活跃)</w:t>
            </w:r>
          </w:p>
        </w:tc>
        <w:tc>
          <w:tcPr>
            <w:tcW w:w="1834" w:type="pct"/>
            <w:vAlign w:val="center"/>
          </w:tcPr>
          <w:p w14:paraId="695C277A">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每季度有活跃的教研群数/本地教研群总数×100；按满分100计，以实际比率计分；指标最终得分取季度得分均值</w:t>
            </w:r>
          </w:p>
        </w:tc>
        <w:tc>
          <w:tcPr>
            <w:tcW w:w="319" w:type="pct"/>
            <w:vAlign w:val="center"/>
          </w:tcPr>
          <w:p w14:paraId="734E863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1039C5D5">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7.5</w:t>
            </w:r>
          </w:p>
        </w:tc>
      </w:tr>
      <w:tr w14:paraId="013A3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600" w:type="pct"/>
            <w:vMerge w:val="continue"/>
          </w:tcPr>
          <w:p w14:paraId="79322428"/>
        </w:tc>
        <w:tc>
          <w:tcPr>
            <w:tcW w:w="601" w:type="pct"/>
            <w:vMerge w:val="continue"/>
          </w:tcPr>
          <w:p w14:paraId="38171D1D"/>
        </w:tc>
        <w:tc>
          <w:tcPr>
            <w:tcW w:w="1302" w:type="pct"/>
            <w:vAlign w:val="center"/>
          </w:tcPr>
          <w:p w14:paraId="76E3A5CE">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名师工作室活跃情况(指有发言、发布活动或资源分享其中任一个行为，即算活跃)</w:t>
            </w:r>
          </w:p>
        </w:tc>
        <w:tc>
          <w:tcPr>
            <w:tcW w:w="1834" w:type="pct"/>
            <w:vAlign w:val="center"/>
          </w:tcPr>
          <w:p w14:paraId="3DAC3FB4">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每月有活跃的名师工作室数/本地现有名师工作室数×100；</w:t>
            </w: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按满分100计，以实际比率计分；指标最终得分取月得分均值</w:t>
            </w:r>
          </w:p>
        </w:tc>
        <w:tc>
          <w:tcPr>
            <w:tcW w:w="319" w:type="pct"/>
            <w:vAlign w:val="center"/>
          </w:tcPr>
          <w:p w14:paraId="66DE7A12">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5C546DA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7.5</w:t>
            </w:r>
          </w:p>
        </w:tc>
      </w:tr>
      <w:tr w14:paraId="30167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600" w:type="pct"/>
            <w:vMerge w:val="continue"/>
          </w:tcPr>
          <w:p w14:paraId="2D37F178"/>
        </w:tc>
        <w:tc>
          <w:tcPr>
            <w:tcW w:w="601" w:type="pct"/>
            <w:vAlign w:val="center"/>
          </w:tcPr>
          <w:p w14:paraId="5A7E28AD">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管</w:t>
            </w:r>
          </w:p>
        </w:tc>
        <w:tc>
          <w:tcPr>
            <w:tcW w:w="1302" w:type="pct"/>
            <w:vAlign w:val="center"/>
          </w:tcPr>
          <w:p w14:paraId="1B66AF51">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管理类工具使用情况 (国家平台管理类工具包括：通知、打卡、课程表、成绩管理、校历、学生请假、教师请假、问卷调查、信息统计、课后服务；已接入国家枢纽的省级平台和已上架选用的第三方管理类应用/工具的使用情况按照数据通要求及埋点规范进行上报)</w:t>
            </w:r>
          </w:p>
        </w:tc>
        <w:tc>
          <w:tcPr>
            <w:tcW w:w="1834" w:type="pct"/>
            <w:vAlign w:val="center"/>
          </w:tcPr>
          <w:p w14:paraId="0045DA16">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每季度本地中小学教师使用平台管理类工具次数总和/本地中小学专任教师数</w:t>
            </w: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(即教师人均使用管理类工具次数)</w:t>
            </w: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×100;</w:t>
            </w: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满分100,超出</w:t>
            </w: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100按100计；指标最终得分取月得分均值</w:t>
            </w:r>
          </w:p>
        </w:tc>
        <w:tc>
          <w:tcPr>
            <w:tcW w:w="319" w:type="pct"/>
            <w:vAlign w:val="center"/>
          </w:tcPr>
          <w:p w14:paraId="6188834F">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081D2302">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5</w:t>
            </w:r>
          </w:p>
        </w:tc>
      </w:tr>
      <w:tr w14:paraId="24BBC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60" w:hRule="atLeast"/>
        </w:trPr>
        <w:tc>
          <w:tcPr>
            <w:tcW w:w="600" w:type="pct"/>
            <w:vMerge w:val="continue"/>
          </w:tcPr>
          <w:p w14:paraId="1E364090"/>
        </w:tc>
        <w:tc>
          <w:tcPr>
            <w:tcW w:w="601" w:type="pct"/>
            <w:vAlign w:val="center"/>
          </w:tcPr>
          <w:p w14:paraId="4DACB16D">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评</w:t>
            </w:r>
          </w:p>
        </w:tc>
        <w:tc>
          <w:tcPr>
            <w:tcW w:w="1302" w:type="pct"/>
            <w:vAlign w:val="center"/>
          </w:tcPr>
          <w:p w14:paraId="7CFB3874">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评价类工具使用情况 (国家平台</w:t>
            </w:r>
            <w:r>
              <w:rPr>
                <w:rFonts w:hint="eastAsia" w:ascii="黑体" w:hAnsi="黑体" w:eastAsia="黑体" w:cs="黑体"/>
                <w:b w:val="0"/>
                <w:i w:val="0"/>
                <w:color w:val="000000"/>
                <w:spacing w:val="0"/>
                <w:sz w:val="21"/>
                <w:lang w:val="en-US" w:eastAsia="zh-CN"/>
              </w:rPr>
              <w:t>评价类</w:t>
            </w:r>
            <w:r>
              <w:rPr>
                <w:rFonts w:ascii="黑体" w:hAnsi="黑体" w:eastAsia="黑体" w:cs="黑体"/>
                <w:b w:val="0"/>
                <w:i w:val="0"/>
                <w:color w:val="000000"/>
                <w:spacing w:val="0"/>
                <w:sz w:val="21"/>
              </w:rPr>
              <w:t>工具包括：学</w:t>
            </w:r>
            <w:r>
              <w:rPr>
                <w:rFonts w:hint="eastAsia" w:ascii="黑体" w:hAnsi="黑体" w:eastAsia="黑体" w:cs="黑体"/>
                <w:b w:val="0"/>
                <w:i w:val="0"/>
                <w:color w:val="000000"/>
                <w:spacing w:val="0"/>
                <w:sz w:val="21"/>
                <w:lang w:val="en-US" w:eastAsia="zh-CN"/>
              </w:rPr>
              <w:t>生评价、作业活动、组卷、习题</w:t>
            </w:r>
            <w:r>
              <w:rPr>
                <w:rFonts w:ascii="黑体" w:hAnsi="黑体" w:eastAsia="黑体" w:cs="黑体"/>
                <w:b w:val="0"/>
                <w:i w:val="0"/>
                <w:color w:val="000000"/>
                <w:spacing w:val="0"/>
                <w:sz w:val="21"/>
              </w:rPr>
              <w:t>；已接入国家枢纽的省级平台和已上架选用的第三方评价类应用/工具的使用情况按照数据通要求及埋点规范进行上报)</w:t>
            </w:r>
          </w:p>
        </w:tc>
        <w:tc>
          <w:tcPr>
            <w:tcW w:w="1834" w:type="pct"/>
            <w:vAlign w:val="center"/>
          </w:tcPr>
          <w:p w14:paraId="3066688D">
            <w:pPr>
              <w:pageBreakBefore w:val="0"/>
              <w:wordWrap w:val="0"/>
              <w:spacing w:before="0" w:after="0" w:line="280" w:lineRule="atLeast"/>
              <w:ind w:left="0" w:right="0"/>
              <w:jc w:val="both"/>
              <w:textAlignment w:val="baseline"/>
              <w:rPr>
                <w:sz w:val="21"/>
              </w:rPr>
            </w:pPr>
            <w:r>
              <w:rPr>
                <w:rFonts w:ascii="黑体" w:hAnsi="黑体" w:eastAsia="黑体" w:cs="黑体"/>
                <w:b w:val="0"/>
                <w:i w:val="0"/>
                <w:color w:val="000000"/>
                <w:spacing w:val="0"/>
                <w:sz w:val="21"/>
              </w:rPr>
              <w:t>每季度本地中小学教师使用平台评价类工具次数总和/本地中小学专任教师数(教师人均使用评价类工具次数)×100;满分100,超出100按100计;指标最终得分取月得分均值</w:t>
            </w:r>
          </w:p>
        </w:tc>
        <w:tc>
          <w:tcPr>
            <w:tcW w:w="319" w:type="pct"/>
            <w:vAlign w:val="center"/>
          </w:tcPr>
          <w:p w14:paraId="2CAD1536">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100</w:t>
            </w:r>
          </w:p>
        </w:tc>
        <w:tc>
          <w:tcPr>
            <w:tcW w:w="340" w:type="pct"/>
            <w:vAlign w:val="center"/>
          </w:tcPr>
          <w:p w14:paraId="2EBB1D7C">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5</w:t>
            </w:r>
          </w:p>
        </w:tc>
      </w:tr>
    </w:tbl>
    <w:p w14:paraId="704A19F0">
      <w:pPr>
        <w:pageBreakBefore w:val="0"/>
        <w:wordWrap w:val="0"/>
        <w:spacing w:before="0" w:after="0" w:line="300" w:lineRule="atLeast"/>
        <w:ind w:right="0"/>
        <w:jc w:val="both"/>
        <w:textAlignment w:val="baseline"/>
        <w:rPr>
          <w:sz w:val="21"/>
        </w:rPr>
      </w:pP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备注：中小学在职教师数指在国家中小学平台完成认证的教师数</w:t>
      </w:r>
    </w:p>
    <w:p w14:paraId="5C9E6BA7">
      <w:pPr>
        <w:pageBreakBefore w:val="0"/>
        <w:wordWrap w:val="0"/>
        <w:spacing w:before="0" w:after="0" w:line="300" w:lineRule="atLeast"/>
        <w:ind w:right="0"/>
        <w:jc w:val="both"/>
        <w:textAlignment w:val="baseline"/>
        <w:rPr>
          <w:sz w:val="21"/>
        </w:rPr>
      </w:pP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中小学专任教师数使用各省上报的教育统计数据</w:t>
      </w:r>
    </w:p>
    <w:p w14:paraId="2906B4F2">
      <w:pPr>
        <w:pageBreakBefore w:val="0"/>
        <w:wordWrap w:val="0"/>
        <w:spacing w:before="0" w:after="0" w:line="300" w:lineRule="atLeast"/>
        <w:ind w:right="0"/>
        <w:jc w:val="both"/>
        <w:textAlignment w:val="baseline"/>
        <w:rPr>
          <w:rFonts w:hint="eastAsia" w:ascii="仿宋_GB2312" w:hAnsi="仿宋_GB2312" w:eastAsia="仿宋_GB2312" w:cs="仿宋_GB2312"/>
          <w:sz w:val="32"/>
          <w:szCs w:val="32"/>
        </w:rPr>
      </w:pPr>
      <w:r>
        <w:rPr>
          <w:rFonts w:hint="eastAsia" w:ascii="黑体" w:hAnsi="黑体" w:eastAsia="黑体" w:cs="黑体"/>
          <w:b w:val="0"/>
          <w:i w:val="0"/>
          <w:color w:val="000000"/>
          <w:spacing w:val="0"/>
          <w:sz w:val="21"/>
          <w:lang w:val="en-US" w:eastAsia="zh-CN"/>
        </w:rPr>
        <w:t xml:space="preserve">          </w:t>
      </w:r>
      <w:r>
        <w:rPr>
          <w:rFonts w:ascii="黑体" w:hAnsi="黑体" w:eastAsia="黑体" w:cs="黑体"/>
          <w:b w:val="0"/>
          <w:i w:val="0"/>
          <w:color w:val="000000"/>
          <w:spacing w:val="0"/>
          <w:sz w:val="21"/>
        </w:rPr>
        <w:t>中小学在校学生数使用各省上报的教育统计数据</w:t>
      </w:r>
    </w:p>
    <w:p w14:paraId="5E302F9E"/>
    <w:sectPr>
      <w:headerReference r:id="rId3" w:type="default"/>
      <w:footerReference r:id="rId4" w:type="default"/>
      <w:pgSz w:w="11906" w:h="16838"/>
      <w:pgMar w:top="1701" w:right="1474" w:bottom="1644" w:left="1587" w:header="708" w:footer="1276"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E2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55C6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655C6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8F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B0454"/>
    <w:rsid w:val="390B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2026-01-07T03:14:00Z</dcterms:created>
  <dc:creator>黑大山</dc:creator>
  <cp:lastModifiedBy>黑大山</cp:lastModifiedBy>
  <dcterms:modified xsi:type="dcterms:W3CDTF">2026-01-07T03:14:44Z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0F409FAD00514905BA1C6CF61F96B74F_11</vt:lpwstr>
  </property>
  <property fmtid="{D5CDD505-2E9C-101B-9397-08002B2CF9AE}" pid="4" name="KSOTemplateDocerSaveRecord">
    <vt:lpwstr>eyJoZGlkIjoiNWRkYWEyMjhjYWExNjRiMGE1Y2UzZTMxMThjN2UxNzciLCJ1c2VySWQiOiIxNDU5ODcwNTAxIn0=</vt:lpwstr>
  </property>
</Properties>
</file>